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BA785">
      <w:pPr>
        <w:spacing w:line="360" w:lineRule="auto"/>
        <w:jc w:val="center"/>
        <w:rPr>
          <w:rFonts w:ascii="宋体" w:hAnsi="宋体"/>
          <w:sz w:val="24"/>
        </w:rPr>
      </w:pPr>
    </w:p>
    <w:p w14:paraId="7A7C4DAC">
      <w:pPr>
        <w:spacing w:line="360" w:lineRule="auto"/>
        <w:jc w:val="center"/>
        <w:rPr>
          <w:rFonts w:ascii="宋体" w:hAnsi="宋体"/>
          <w:sz w:val="24"/>
        </w:rPr>
      </w:pPr>
    </w:p>
    <w:p w14:paraId="0D69C9E4">
      <w:pPr>
        <w:spacing w:line="360" w:lineRule="auto"/>
        <w:jc w:val="center"/>
        <w:rPr>
          <w:rFonts w:ascii="宋体" w:hAnsi="宋体"/>
          <w:sz w:val="24"/>
        </w:rPr>
      </w:pPr>
    </w:p>
    <w:p w14:paraId="0458A0A6">
      <w:pPr>
        <w:spacing w:line="360" w:lineRule="auto"/>
        <w:jc w:val="center"/>
        <w:rPr>
          <w:rFonts w:ascii="宋体" w:hAnsi="宋体"/>
          <w:sz w:val="24"/>
        </w:rPr>
      </w:pPr>
    </w:p>
    <w:p w14:paraId="33E152B4">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年度乌海市文化市场综合行政执法局</w:t>
      </w:r>
    </w:p>
    <w:p w14:paraId="184231E8">
      <w:pPr>
        <w:spacing w:line="360" w:lineRule="auto"/>
        <w:jc w:val="center"/>
        <w:rPr>
          <w:rFonts w:ascii="宋体" w:hAnsi="宋体"/>
          <w:b/>
          <w:bCs/>
          <w:sz w:val="52"/>
          <w:szCs w:val="52"/>
        </w:rPr>
      </w:pPr>
      <w:r>
        <w:rPr>
          <w:rFonts w:hint="eastAsia" w:ascii="宋体" w:hAnsi="宋体"/>
          <w:b/>
          <w:bCs/>
          <w:sz w:val="52"/>
          <w:szCs w:val="52"/>
        </w:rPr>
        <w:t>公开报告</w:t>
      </w:r>
    </w:p>
    <w:p w14:paraId="55D7B9C1">
      <w:pPr>
        <w:spacing w:line="360" w:lineRule="auto"/>
        <w:jc w:val="center"/>
        <w:rPr>
          <w:rFonts w:ascii="宋体" w:hAnsi="宋体"/>
          <w:b/>
          <w:bCs/>
          <w:sz w:val="52"/>
          <w:szCs w:val="52"/>
        </w:rPr>
      </w:pPr>
    </w:p>
    <w:p w14:paraId="69B56983">
      <w:pPr>
        <w:spacing w:line="360" w:lineRule="auto"/>
        <w:jc w:val="center"/>
        <w:rPr>
          <w:rFonts w:ascii="宋体" w:hAnsi="宋体"/>
          <w:b/>
          <w:bCs/>
          <w:sz w:val="52"/>
          <w:szCs w:val="52"/>
        </w:rPr>
      </w:pPr>
    </w:p>
    <w:p w14:paraId="45B73F1B">
      <w:pPr>
        <w:spacing w:line="360" w:lineRule="auto"/>
        <w:jc w:val="center"/>
        <w:rPr>
          <w:rFonts w:ascii="宋体" w:hAnsi="宋体"/>
          <w:b/>
          <w:bCs/>
          <w:sz w:val="52"/>
          <w:szCs w:val="52"/>
        </w:rPr>
      </w:pPr>
    </w:p>
    <w:p w14:paraId="1A877A5A">
      <w:pPr>
        <w:spacing w:line="360" w:lineRule="auto"/>
        <w:jc w:val="center"/>
        <w:rPr>
          <w:rFonts w:ascii="宋体" w:hAnsi="宋体"/>
          <w:b/>
          <w:bCs/>
          <w:sz w:val="52"/>
          <w:szCs w:val="52"/>
        </w:rPr>
      </w:pPr>
    </w:p>
    <w:p w14:paraId="0916F9FA">
      <w:pPr>
        <w:spacing w:line="360" w:lineRule="auto"/>
        <w:jc w:val="center"/>
        <w:rPr>
          <w:rFonts w:ascii="宋体" w:hAnsi="宋体"/>
          <w:b/>
          <w:bCs/>
          <w:sz w:val="52"/>
          <w:szCs w:val="52"/>
        </w:rPr>
      </w:pPr>
    </w:p>
    <w:p w14:paraId="0028B519">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48BA650D">
      <w:pPr>
        <w:pStyle w:val="32"/>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4061301E">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25758D8F">
      <w:pPr>
        <w:pStyle w:val="32"/>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单位概况</w:t>
      </w:r>
    </w:p>
    <w:p w14:paraId="4A0C1390">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394AB4E6">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二、单位机构设置及决算单位构成情况</w:t>
      </w:r>
    </w:p>
    <w:p w14:paraId="195C44D9">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年度单位主要工作完成情况</w:t>
      </w:r>
    </w:p>
    <w:p w14:paraId="5AE1FA2B">
      <w:pPr>
        <w:pStyle w:val="32"/>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单位决算情况说明</w:t>
      </w:r>
    </w:p>
    <w:p w14:paraId="0ECBD734">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396DF44D">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2A10C4B2">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67C4946C">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6EF2B356">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61DC6CB6">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17F0F4B2">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0E0F03EE">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0F68E8AF">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42C74FAF">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3D54DC3A">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62F8DA53">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31D2D768">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68FAEBD4">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15AB1739">
      <w:pPr>
        <w:pStyle w:val="32"/>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2659A6D4">
      <w:pPr>
        <w:pStyle w:val="32"/>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5481AC85">
      <w:pPr>
        <w:pStyle w:val="32"/>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单位决算表</w:t>
      </w:r>
    </w:p>
    <w:p w14:paraId="0A1A347D">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3911D3EC">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0AD0D235">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21C6170D">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0B367A8F">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0F3AD011">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6CFB3FD7">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5D77025F">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25C2115B">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382A52F4">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46D60C60">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61AFF96E">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D17E66E">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9FB4142">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ECD7200">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3617EE1">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250B209">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1635DD4">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C662D74">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FF7C042">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617E69A">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430D4F1">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7B4C59C">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EFF6A12">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3D2ACFE">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F26DEC1">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CCDB9EF">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7F7F581">
      <w:pPr>
        <w:pStyle w:val="7"/>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13FA934">
      <w:pPr>
        <w:pStyle w:val="7"/>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单位概况</w:t>
      </w:r>
    </w:p>
    <w:p w14:paraId="36B3C39F">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14:paraId="1B83D21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(一) 执法权限行使。</w:t>
      </w:r>
      <w:r>
        <w:rPr>
          <w:rFonts w:hint="eastAsia" w:ascii="仿宋_GB2312" w:hAnsi="仿宋_GB2312" w:eastAsia="仿宋_GB2312" w:cs="仿宋_GB2312"/>
          <w:b w:val="0"/>
          <w:bCs w:val="0"/>
          <w:kern w:val="0"/>
          <w:sz w:val="32"/>
          <w:szCs w:val="32"/>
          <w:lang w:eastAsia="zh-CN"/>
        </w:rPr>
        <w:t>依法行使全市文化、文物、新闻出版（版权）、电影、广播电视、旅游、体育7个领域行政处罚、行政检查、行政强制职权，查处网吧、娱乐场所、营业性演出、艺术品经营、文物经营、印刷发行、网络文化、卫星电视接收设施、旅行社、高危体育经营场所等市场违法违规行为。</w:t>
      </w:r>
    </w:p>
    <w:p w14:paraId="5080393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(二)开展专项整治与案件查办。</w:t>
      </w:r>
      <w:r>
        <w:rPr>
          <w:rFonts w:hint="eastAsia" w:ascii="仿宋_GB2312" w:hAnsi="仿宋_GB2312" w:eastAsia="仿宋_GB2312" w:cs="仿宋_GB2312"/>
          <w:b w:val="0"/>
          <w:bCs w:val="0"/>
          <w:kern w:val="0"/>
          <w:sz w:val="32"/>
          <w:szCs w:val="32"/>
          <w:lang w:eastAsia="zh-CN"/>
        </w:rPr>
        <w:t>组织开展各类市场专项执法行动，查办重大违法案件；落实“扫黄打非”工作任务，打击侵权盗版、非法出版物等违法行为，维护意识形态安全和文化旅游市场秩序。</w:t>
      </w:r>
    </w:p>
    <w:p w14:paraId="31BEE48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(三)投诉举报处置。</w:t>
      </w:r>
      <w:r>
        <w:rPr>
          <w:rFonts w:hint="eastAsia" w:ascii="仿宋_GB2312" w:hAnsi="仿宋_GB2312" w:eastAsia="仿宋_GB2312" w:cs="仿宋_GB2312"/>
          <w:b w:val="0"/>
          <w:bCs w:val="0"/>
          <w:kern w:val="0"/>
          <w:sz w:val="32"/>
          <w:szCs w:val="32"/>
          <w:lang w:eastAsia="zh-CN"/>
        </w:rPr>
        <w:t>受理12318等平台文化旅游市场群众投诉举报，做好线索核查、案件办理与反馈处置工作。</w:t>
      </w:r>
    </w:p>
    <w:p w14:paraId="580A90D4">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二、单位机构设置及决算单位构成情况</w:t>
      </w:r>
    </w:p>
    <w:p w14:paraId="056F9B7C">
      <w:pPr>
        <w:pStyle w:val="32"/>
        <w:widowControl/>
        <w:spacing w:before="240" w:after="240" w:line="60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hint="eastAsia" w:ascii="仿宋_GB2312" w:hAnsi="仿宋_GB2312" w:eastAsia="仿宋_GB2312" w:cs="仿宋_GB2312"/>
          <w:b w:val="0"/>
          <w:bCs w:val="0"/>
          <w:kern w:val="0"/>
          <w:sz w:val="32"/>
          <w:szCs w:val="32"/>
          <w:lang w:eastAsia="zh-CN"/>
        </w:rPr>
        <w:t>根据单位职责分工，本单位内设机构包括</w:t>
      </w:r>
      <w:r>
        <w:rPr>
          <w:rFonts w:hint="eastAsia" w:ascii="仿宋_GB2312" w:hAnsi="仿宋_GB2312" w:eastAsia="仿宋_GB2312" w:cs="仿宋_GB2312"/>
          <w:b w:val="0"/>
          <w:bCs w:val="0"/>
          <w:kern w:val="0"/>
          <w:sz w:val="32"/>
          <w:szCs w:val="32"/>
          <w:lang w:val="en-US" w:eastAsia="zh-CN"/>
        </w:rPr>
        <w:t>7个科室</w:t>
      </w:r>
      <w:r>
        <w:rPr>
          <w:rFonts w:hint="eastAsia" w:ascii="仿宋_GB2312" w:hAnsi="仿宋_GB2312" w:eastAsia="仿宋_GB2312" w:cs="仿宋_GB2312"/>
          <w:b w:val="0"/>
          <w:bCs w:val="0"/>
          <w:kern w:val="0"/>
          <w:sz w:val="32"/>
          <w:szCs w:val="32"/>
          <w:lang w:eastAsia="zh-CN"/>
        </w:rPr>
        <w:t>：海勃湾大队、乌达大队、海南大队、综合科、人事教育科、执法监察科、法制科。本单位无下属单位。</w:t>
      </w:r>
    </w:p>
    <w:p w14:paraId="1CC3F01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hint="eastAsia" w:ascii="仿宋_GB2312" w:hAnsi="仿宋_GB2312" w:eastAsia="仿宋_GB2312" w:cs="仿宋_GB2312"/>
          <w:b w:val="0"/>
          <w:bCs w:val="0"/>
          <w:kern w:val="0"/>
          <w:sz w:val="32"/>
          <w:szCs w:val="32"/>
          <w:lang w:eastAsia="zh-CN"/>
        </w:rPr>
        <w:t>从决算单位构成看，纳入本单位202</w:t>
      </w:r>
      <w:r>
        <w:rPr>
          <w:rFonts w:hint="eastAsia" w:ascii="仿宋_GB2312" w:hAnsi="仿宋_GB2312" w:eastAsia="仿宋_GB2312" w:cs="仿宋_GB2312"/>
          <w:b w:val="0"/>
          <w:bCs w:val="0"/>
          <w:kern w:val="0"/>
          <w:sz w:val="32"/>
          <w:szCs w:val="32"/>
          <w:lang w:val="en-US" w:eastAsia="zh-CN"/>
        </w:rPr>
        <w:t>4</w:t>
      </w:r>
      <w:r>
        <w:rPr>
          <w:rFonts w:hint="eastAsia" w:ascii="仿宋_GB2312" w:hAnsi="仿宋_GB2312" w:eastAsia="仿宋_GB2312" w:cs="仿宋_GB2312"/>
          <w:b w:val="0"/>
          <w:bCs w:val="0"/>
          <w:kern w:val="0"/>
          <w:sz w:val="32"/>
          <w:szCs w:val="32"/>
          <w:lang w:eastAsia="zh-CN"/>
        </w:rPr>
        <w:t>年决算编制范围的预算单位共计</w:t>
      </w:r>
      <w:r>
        <w:rPr>
          <w:rFonts w:hint="eastAsia" w:ascii="仿宋_GB2312" w:hAnsi="仿宋_GB2312" w:eastAsia="仿宋_GB2312" w:cs="仿宋_GB2312"/>
          <w:b w:val="0"/>
          <w:bCs w:val="0"/>
          <w:kern w:val="0"/>
          <w:sz w:val="32"/>
          <w:szCs w:val="32"/>
          <w:lang w:val="en-US" w:eastAsia="zh-CN"/>
        </w:rPr>
        <w:t>1</w:t>
      </w:r>
      <w:r>
        <w:rPr>
          <w:rFonts w:hint="eastAsia" w:ascii="仿宋_GB2312" w:hAnsi="仿宋_GB2312" w:eastAsia="仿宋_GB2312" w:cs="仿宋_GB2312"/>
          <w:b w:val="0"/>
          <w:bCs w:val="0"/>
          <w:kern w:val="0"/>
          <w:sz w:val="32"/>
          <w:szCs w:val="32"/>
          <w:lang w:eastAsia="zh-CN"/>
        </w:rPr>
        <w:t>家，具体包括：乌海市文化市场综合行政执法局。详细情况见表：</w:t>
      </w:r>
    </w:p>
    <w:tbl>
      <w:tblPr>
        <w:tblStyle w:val="22"/>
        <w:tblW w:w="846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3"/>
        <w:gridCol w:w="3839"/>
        <w:gridCol w:w="3756"/>
      </w:tblGrid>
      <w:tr w14:paraId="4D719D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873" w:type="dxa"/>
            <w:tcBorders>
              <w:top w:val="single" w:color="auto" w:sz="6" w:space="0"/>
              <w:left w:val="single" w:color="auto" w:sz="6" w:space="0"/>
              <w:bottom w:val="single" w:color="auto" w:sz="6" w:space="0"/>
              <w:right w:val="single" w:color="auto" w:sz="6" w:space="0"/>
              <w:tl2br w:val="nil"/>
              <w:tr2bl w:val="nil"/>
            </w:tcBorders>
            <w:noWrap w:val="0"/>
            <w:vAlign w:val="top"/>
          </w:tcPr>
          <w:p w14:paraId="358605EF">
            <w:pPr>
              <w:keepNext w:val="0"/>
              <w:keepLines w:val="0"/>
              <w:pageBreakBefore w:val="0"/>
              <w:kinsoku/>
              <w:wordWrap/>
              <w:overflowPunct/>
              <w:topLinePunct w:val="0"/>
              <w:autoSpaceDE/>
              <w:autoSpaceDN/>
              <w:bidi w:val="0"/>
              <w:adjustRightInd/>
              <w:snapToGrid/>
              <w:spacing w:beforeLines="0" w:afterLines="0" w:line="600" w:lineRule="exact"/>
              <w:textAlignment w:val="auto"/>
              <w:rPr>
                <w:rFonts w:hint="eastAsia" w:ascii="Times New Roman" w:hAnsi="Times New Roman" w:eastAsia="Times New Roman"/>
                <w:color w:val="000000"/>
                <w:sz w:val="31"/>
                <w:szCs w:val="24"/>
                <w:u w:val="none"/>
              </w:rPr>
            </w:pPr>
            <w:r>
              <w:rPr>
                <w:rFonts w:hint="eastAsia" w:ascii="仿宋_GB2312" w:hAnsi="仿宋_GB2312" w:eastAsia="仿宋_GB2312"/>
                <w:color w:val="000000"/>
                <w:sz w:val="31"/>
                <w:szCs w:val="24"/>
                <w:u w:val="none"/>
              </w:rPr>
              <w:t>序号</w:t>
            </w:r>
          </w:p>
        </w:tc>
        <w:tc>
          <w:tcPr>
            <w:tcW w:w="3839" w:type="dxa"/>
            <w:tcBorders>
              <w:top w:val="single" w:color="auto" w:sz="6" w:space="0"/>
              <w:left w:val="single" w:color="auto" w:sz="6" w:space="0"/>
              <w:bottom w:val="single" w:color="auto" w:sz="6" w:space="0"/>
              <w:right w:val="single" w:color="auto" w:sz="6" w:space="0"/>
              <w:tl2br w:val="nil"/>
              <w:tr2bl w:val="nil"/>
            </w:tcBorders>
            <w:noWrap w:val="0"/>
            <w:vAlign w:val="top"/>
          </w:tcPr>
          <w:p w14:paraId="5A74A540">
            <w:pPr>
              <w:keepNext w:val="0"/>
              <w:keepLines w:val="0"/>
              <w:pageBreakBefore w:val="0"/>
              <w:kinsoku/>
              <w:wordWrap/>
              <w:overflowPunct/>
              <w:topLinePunct w:val="0"/>
              <w:autoSpaceDE/>
              <w:autoSpaceDN/>
              <w:bidi w:val="0"/>
              <w:adjustRightInd/>
              <w:snapToGrid/>
              <w:spacing w:beforeLines="0" w:afterLines="0" w:line="600" w:lineRule="exact"/>
              <w:textAlignment w:val="auto"/>
              <w:rPr>
                <w:rFonts w:hint="eastAsia" w:ascii="Times New Roman" w:hAnsi="Times New Roman" w:eastAsia="Times New Roman"/>
                <w:color w:val="000000"/>
                <w:sz w:val="31"/>
                <w:szCs w:val="24"/>
                <w:u w:val="none"/>
              </w:rPr>
            </w:pPr>
            <w:r>
              <w:rPr>
                <w:rFonts w:hint="eastAsia" w:ascii="仿宋_GB2312" w:hAnsi="仿宋_GB2312" w:eastAsia="仿宋_GB2312"/>
                <w:color w:val="000000"/>
                <w:sz w:val="31"/>
                <w:szCs w:val="24"/>
                <w:u w:val="none"/>
              </w:rPr>
              <w:t>单位名称</w:t>
            </w:r>
          </w:p>
        </w:tc>
        <w:tc>
          <w:tcPr>
            <w:tcW w:w="3756" w:type="dxa"/>
            <w:tcBorders>
              <w:top w:val="single" w:color="auto" w:sz="6" w:space="0"/>
              <w:left w:val="single" w:color="auto" w:sz="6" w:space="0"/>
              <w:bottom w:val="single" w:color="auto" w:sz="6" w:space="0"/>
              <w:right w:val="single" w:color="auto" w:sz="6" w:space="0"/>
              <w:tl2br w:val="nil"/>
              <w:tr2bl w:val="nil"/>
            </w:tcBorders>
            <w:noWrap w:val="0"/>
            <w:vAlign w:val="top"/>
          </w:tcPr>
          <w:p w14:paraId="2941051A">
            <w:pPr>
              <w:keepNext w:val="0"/>
              <w:keepLines w:val="0"/>
              <w:pageBreakBefore w:val="0"/>
              <w:kinsoku/>
              <w:wordWrap/>
              <w:overflowPunct/>
              <w:topLinePunct w:val="0"/>
              <w:autoSpaceDE/>
              <w:autoSpaceDN/>
              <w:bidi w:val="0"/>
              <w:adjustRightInd/>
              <w:snapToGrid/>
              <w:spacing w:beforeLines="0" w:afterLines="0" w:line="600" w:lineRule="exact"/>
              <w:textAlignment w:val="auto"/>
              <w:rPr>
                <w:rFonts w:hint="eastAsia" w:ascii="Times New Roman" w:hAnsi="Times New Roman" w:eastAsia="Times New Roman"/>
                <w:color w:val="000000"/>
                <w:sz w:val="31"/>
                <w:szCs w:val="24"/>
                <w:u w:val="none"/>
              </w:rPr>
            </w:pPr>
            <w:r>
              <w:rPr>
                <w:rFonts w:hint="eastAsia" w:ascii="仿宋_GB2312" w:hAnsi="仿宋_GB2312" w:eastAsia="仿宋_GB2312"/>
                <w:color w:val="000000"/>
                <w:sz w:val="31"/>
                <w:szCs w:val="24"/>
                <w:u w:val="none"/>
              </w:rPr>
              <w:t>单位性质</w:t>
            </w:r>
          </w:p>
        </w:tc>
      </w:tr>
      <w:tr w14:paraId="40BF70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3" w:type="dxa"/>
            <w:tcBorders>
              <w:top w:val="single" w:color="auto" w:sz="6" w:space="0"/>
              <w:left w:val="single" w:color="auto" w:sz="6" w:space="0"/>
              <w:bottom w:val="single" w:color="auto" w:sz="6" w:space="0"/>
              <w:right w:val="single" w:color="auto" w:sz="6" w:space="0"/>
              <w:tl2br w:val="nil"/>
              <w:tr2bl w:val="nil"/>
            </w:tcBorders>
            <w:noWrap w:val="0"/>
            <w:vAlign w:val="top"/>
          </w:tcPr>
          <w:p w14:paraId="7CD5E2E0">
            <w:pPr>
              <w:keepNext w:val="0"/>
              <w:keepLines w:val="0"/>
              <w:pageBreakBefore w:val="0"/>
              <w:kinsoku/>
              <w:wordWrap/>
              <w:overflowPunct/>
              <w:topLinePunct w:val="0"/>
              <w:autoSpaceDE/>
              <w:autoSpaceDN/>
              <w:bidi w:val="0"/>
              <w:adjustRightInd/>
              <w:snapToGrid/>
              <w:spacing w:beforeLines="0" w:afterLines="0" w:line="600" w:lineRule="exact"/>
              <w:jc w:val="center"/>
              <w:textAlignment w:val="auto"/>
              <w:rPr>
                <w:rFonts w:hint="eastAsia" w:ascii="Times New Roman" w:hAnsi="Times New Roman" w:eastAsia="Times New Roman"/>
                <w:color w:val="000000"/>
                <w:sz w:val="31"/>
                <w:szCs w:val="24"/>
                <w:u w:val="none"/>
              </w:rPr>
            </w:pPr>
            <w:r>
              <w:rPr>
                <w:rFonts w:hint="eastAsia" w:ascii="Times New Roman" w:hAnsi="Times New Roman" w:eastAsia="Times New Roman"/>
                <w:color w:val="000000"/>
                <w:sz w:val="31"/>
                <w:szCs w:val="24"/>
                <w:u w:val="none"/>
              </w:rPr>
              <w:t>1</w:t>
            </w:r>
          </w:p>
        </w:tc>
        <w:tc>
          <w:tcPr>
            <w:tcW w:w="3839" w:type="dxa"/>
            <w:tcBorders>
              <w:top w:val="single" w:color="auto" w:sz="6" w:space="0"/>
              <w:left w:val="single" w:color="auto" w:sz="6" w:space="0"/>
              <w:bottom w:val="single" w:color="auto" w:sz="6" w:space="0"/>
              <w:right w:val="single" w:color="auto" w:sz="6" w:space="0"/>
              <w:tl2br w:val="nil"/>
              <w:tr2bl w:val="nil"/>
            </w:tcBorders>
            <w:noWrap w:val="0"/>
            <w:vAlign w:val="top"/>
          </w:tcPr>
          <w:p w14:paraId="2AEF96A1">
            <w:pPr>
              <w:keepNext w:val="0"/>
              <w:keepLines w:val="0"/>
              <w:pageBreakBefore w:val="0"/>
              <w:kinsoku/>
              <w:wordWrap/>
              <w:overflowPunct/>
              <w:topLinePunct w:val="0"/>
              <w:autoSpaceDE/>
              <w:autoSpaceDN/>
              <w:bidi w:val="0"/>
              <w:adjustRightInd/>
              <w:snapToGrid/>
              <w:spacing w:beforeLines="0" w:afterLines="0" w:line="600" w:lineRule="exact"/>
              <w:textAlignment w:val="auto"/>
              <w:rPr>
                <w:rFonts w:hint="eastAsia" w:ascii="Times New Roman" w:hAnsi="Times New Roman" w:eastAsia="Times New Roman"/>
                <w:color w:val="000000"/>
                <w:sz w:val="31"/>
                <w:szCs w:val="24"/>
                <w:u w:val="none"/>
              </w:rPr>
            </w:pPr>
            <w:r>
              <w:rPr>
                <w:rFonts w:hint="eastAsia" w:ascii="仿宋_GB2312" w:hAnsi="Times New Roman" w:eastAsia="仿宋_GB2312" w:cs="仿宋_GB2312"/>
                <w:sz w:val="32"/>
                <w:szCs w:val="32"/>
                <w:u w:val="none"/>
              </w:rPr>
              <w:t>乌海市文化</w:t>
            </w:r>
            <w:r>
              <w:rPr>
                <w:rFonts w:hint="eastAsia" w:ascii="仿宋_GB2312" w:eastAsia="仿宋_GB2312" w:cs="仿宋_GB2312"/>
                <w:sz w:val="32"/>
                <w:szCs w:val="32"/>
                <w:u w:val="none"/>
                <w:lang w:eastAsia="zh-CN"/>
              </w:rPr>
              <w:t>市场</w:t>
            </w:r>
            <w:r>
              <w:rPr>
                <w:rFonts w:hint="eastAsia" w:ascii="仿宋_GB2312" w:hAnsi="Times New Roman" w:eastAsia="仿宋_GB2312" w:cs="仿宋_GB2312"/>
                <w:sz w:val="32"/>
                <w:szCs w:val="32"/>
                <w:u w:val="none"/>
              </w:rPr>
              <w:t>综合</w:t>
            </w:r>
            <w:r>
              <w:rPr>
                <w:rFonts w:hint="eastAsia" w:ascii="仿宋_GB2312" w:eastAsia="仿宋_GB2312" w:cs="仿宋_GB2312"/>
                <w:sz w:val="32"/>
                <w:szCs w:val="32"/>
                <w:u w:val="none"/>
                <w:lang w:eastAsia="zh-CN"/>
              </w:rPr>
              <w:t>行政</w:t>
            </w:r>
            <w:r>
              <w:rPr>
                <w:rFonts w:hint="eastAsia" w:ascii="仿宋_GB2312" w:hAnsi="Times New Roman" w:eastAsia="仿宋_GB2312" w:cs="仿宋_GB2312"/>
                <w:sz w:val="32"/>
                <w:szCs w:val="32"/>
                <w:u w:val="none"/>
              </w:rPr>
              <w:t>执法局</w:t>
            </w:r>
          </w:p>
        </w:tc>
        <w:tc>
          <w:tcPr>
            <w:tcW w:w="3756" w:type="dxa"/>
            <w:tcBorders>
              <w:top w:val="single" w:color="auto" w:sz="6" w:space="0"/>
              <w:left w:val="single" w:color="auto" w:sz="6" w:space="0"/>
              <w:bottom w:val="single" w:color="auto" w:sz="6" w:space="0"/>
              <w:right w:val="single" w:color="auto" w:sz="6" w:space="0"/>
              <w:tl2br w:val="nil"/>
              <w:tr2bl w:val="nil"/>
            </w:tcBorders>
            <w:noWrap w:val="0"/>
            <w:vAlign w:val="top"/>
          </w:tcPr>
          <w:p w14:paraId="50AB4EF8">
            <w:pPr>
              <w:keepNext w:val="0"/>
              <w:keepLines w:val="0"/>
              <w:pageBreakBefore w:val="0"/>
              <w:kinsoku/>
              <w:wordWrap/>
              <w:overflowPunct/>
              <w:topLinePunct w:val="0"/>
              <w:autoSpaceDE/>
              <w:autoSpaceDN/>
              <w:bidi w:val="0"/>
              <w:adjustRightInd/>
              <w:snapToGrid/>
              <w:spacing w:beforeLines="0" w:afterLines="0" w:line="600" w:lineRule="exact"/>
              <w:textAlignment w:val="auto"/>
              <w:rPr>
                <w:rFonts w:hint="eastAsia" w:ascii="Times New Roman" w:hAnsi="Times New Roman" w:eastAsia="Times New Roman"/>
                <w:color w:val="000000"/>
                <w:sz w:val="31"/>
                <w:szCs w:val="24"/>
                <w:u w:val="none"/>
              </w:rPr>
            </w:pPr>
            <w:r>
              <w:rPr>
                <w:rFonts w:hint="eastAsia" w:ascii="仿宋_GB2312" w:hAnsi="仿宋_GB2312" w:eastAsia="仿宋_GB2312"/>
                <w:color w:val="000000"/>
                <w:sz w:val="31"/>
                <w:szCs w:val="24"/>
                <w:u w:val="none"/>
              </w:rPr>
              <w:t>参照公务员法管理的事业单位</w:t>
            </w:r>
          </w:p>
        </w:tc>
      </w:tr>
    </w:tbl>
    <w:p w14:paraId="0F8BB530">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年度单位主要工作完成情况</w:t>
      </w:r>
    </w:p>
    <w:p w14:paraId="5D27636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（一）市场日常监管常态化开展。</w:t>
      </w:r>
      <w:r>
        <w:rPr>
          <w:rFonts w:hint="eastAsia" w:ascii="仿宋_GB2312" w:hAnsi="仿宋_GB2312" w:eastAsia="仿宋_GB2312" w:cs="仿宋_GB2312"/>
          <w:b w:val="0"/>
          <w:bCs w:val="0"/>
          <w:kern w:val="0"/>
          <w:sz w:val="32"/>
          <w:szCs w:val="32"/>
          <w:lang w:eastAsia="zh-CN"/>
        </w:rPr>
        <w:t>落实“双随机、一公开”监管要求，持续开展文化旅游市场日常巡查检查，重点对网吧、歌舞娱乐场所、营业性演出、旅行社、出版物经营单位、高危体育场所等经营主体开展现场检查，及时排查化解市场安全隐患，规范经营主体经营行为。</w:t>
      </w:r>
    </w:p>
    <w:p w14:paraId="36433BF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（二）专项整治与案件查办有序推进。</w:t>
      </w:r>
      <w:r>
        <w:rPr>
          <w:rFonts w:hint="eastAsia" w:ascii="仿宋_GB2312" w:hAnsi="仿宋_GB2312" w:eastAsia="仿宋_GB2312" w:cs="仿宋_GB2312"/>
          <w:b w:val="0"/>
          <w:bCs w:val="0"/>
          <w:kern w:val="0"/>
          <w:sz w:val="32"/>
          <w:szCs w:val="32"/>
          <w:lang w:eastAsia="zh-CN"/>
        </w:rPr>
        <w:t>结合市场形势组织开展“扫黄打非”、文旅市场专项整治、版权保护、网络文化市场整治等专项行动，依法查处各类违法违规案件，规范案件办理流程，严格落实行政执法“三项制度”，不断提升案件办理质效，维护市场秩序和意识形态安全。</w:t>
      </w:r>
    </w:p>
    <w:p w14:paraId="33F497A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（三）投诉举报高效处置。</w:t>
      </w:r>
      <w:r>
        <w:rPr>
          <w:rFonts w:hint="eastAsia" w:ascii="仿宋_GB2312" w:hAnsi="仿宋_GB2312" w:eastAsia="仿宋_GB2312" w:cs="仿宋_GB2312"/>
          <w:b w:val="0"/>
          <w:bCs w:val="0"/>
          <w:kern w:val="0"/>
          <w:sz w:val="32"/>
          <w:szCs w:val="32"/>
          <w:lang w:eastAsia="zh-CN"/>
        </w:rPr>
        <w:t>依托12318文化市场举报平台，畅通群众投诉举报渠道，及时受理、核查、处置群众反映的各类市场问题，做到有线索必核查、有结果必反馈，切实保障群众合法权益。</w:t>
      </w:r>
    </w:p>
    <w:p w14:paraId="3043188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（四）执法规范化建设持续加强。</w:t>
      </w:r>
      <w:r>
        <w:rPr>
          <w:rFonts w:hint="eastAsia" w:ascii="仿宋_GB2312" w:hAnsi="仿宋_GB2312" w:eastAsia="仿宋_GB2312" w:cs="仿宋_GB2312"/>
          <w:b w:val="0"/>
          <w:bCs w:val="0"/>
          <w:kern w:val="0"/>
          <w:sz w:val="32"/>
          <w:szCs w:val="32"/>
          <w:lang w:eastAsia="zh-CN"/>
        </w:rPr>
        <w:t>组织开展执法业务培训、案卷评查、执法练兵等活动，强化执法人员法治素养和办案能力；规范执法文书、执法全过程记录，持续推进公正文明执法。做好普法宣传与服务引导。</w:t>
      </w:r>
    </w:p>
    <w:p w14:paraId="68028E8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（五）开展文化旅游法律法规普法宣传。</w:t>
      </w:r>
      <w:r>
        <w:rPr>
          <w:rFonts w:hint="eastAsia" w:ascii="仿宋_GB2312" w:hAnsi="仿宋_GB2312" w:eastAsia="仿宋_GB2312" w:cs="仿宋_GB2312"/>
          <w:b w:val="0"/>
          <w:bCs w:val="0"/>
          <w:kern w:val="0"/>
          <w:sz w:val="32"/>
          <w:szCs w:val="32"/>
          <w:lang w:eastAsia="zh-CN"/>
        </w:rPr>
        <w:t>面向经营单位开展政策宣讲，引导市场主体守法经营，提升经营者法治意识与群众维权意识。</w:t>
      </w:r>
    </w:p>
    <w:p w14:paraId="104CF24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b w:val="0"/>
          <w:bCs w:val="0"/>
          <w:kern w:val="0"/>
          <w:sz w:val="32"/>
          <w:szCs w:val="32"/>
          <w:lang w:val="en-US" w:eastAsia="zh-CN"/>
        </w:rPr>
      </w:pPr>
      <w:r>
        <w:rPr>
          <w:rFonts w:hint="eastAsia" w:ascii="楷体_GB2312" w:hAnsi="楷体_GB2312" w:eastAsia="楷体_GB2312" w:cs="楷体_GB2312"/>
          <w:b w:val="0"/>
          <w:bCs w:val="0"/>
          <w:kern w:val="0"/>
          <w:sz w:val="32"/>
          <w:szCs w:val="32"/>
          <w:lang w:eastAsia="zh-CN"/>
        </w:rPr>
        <w:t>（六）完成上级交办重点任务。</w:t>
      </w:r>
      <w:r>
        <w:rPr>
          <w:rFonts w:hint="eastAsia" w:ascii="仿宋_GB2312" w:hAnsi="仿宋_GB2312" w:eastAsia="仿宋_GB2312" w:cs="仿宋_GB2312"/>
          <w:b w:val="0"/>
          <w:bCs w:val="0"/>
          <w:kern w:val="0"/>
          <w:sz w:val="32"/>
          <w:szCs w:val="32"/>
          <w:lang w:eastAsia="zh-CN"/>
        </w:rPr>
        <w:t>高质量完成安全生产检查、重大活动保障、专项督导、信息报送等各项临时性、阶段性工作任务。</w:t>
      </w:r>
    </w:p>
    <w:p w14:paraId="3ACA7662">
      <w:pPr>
        <w:pStyle w:val="32"/>
        <w:widowControl/>
        <w:spacing w:before="240" w:after="240" w:line="600" w:lineRule="atLeast"/>
        <w:ind w:firstLine="640"/>
        <w:jc w:val="left"/>
        <w:rPr>
          <w:rFonts w:ascii="Times New Roman" w:hAnsi="Times New Roman" w:eastAsia="Times New Roman" w:cs="Times New Roman"/>
          <w:kern w:val="0"/>
          <w:sz w:val="24"/>
        </w:rPr>
      </w:pPr>
    </w:p>
    <w:p w14:paraId="64E25090">
      <w:pPr>
        <w:pStyle w:val="7"/>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单位决算情况说明</w:t>
      </w:r>
    </w:p>
    <w:p w14:paraId="5A4DC2C2">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26FB4CBB">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乌海市文化市场综合行政执法局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none"/>
          <w:lang w:eastAsia="en-US"/>
        </w:rPr>
        <w:t xml:space="preserve"> 494.17</w:t>
      </w:r>
      <w:r>
        <w:rPr>
          <w:rFonts w:ascii="FangSong_GB2312" w:hAnsi="FangSong_GB2312" w:eastAsia="FangSong_GB2312" w:cs="FangSong_GB2312"/>
          <w:kern w:val="0"/>
          <w:sz w:val="32"/>
          <w:szCs w:val="32"/>
        </w:rPr>
        <w:t>万元。与年初预算相比，收、支总计各增加</w:t>
      </w:r>
      <w:r>
        <w:rPr>
          <w:rFonts w:eastAsia="Times New Roman"/>
          <w:kern w:val="0"/>
          <w:sz w:val="32"/>
          <w:szCs w:val="32"/>
          <w:u w:val="none"/>
          <w:lang w:eastAsia="en-US"/>
        </w:rPr>
        <w:t xml:space="preserve"> 30.40</w:t>
      </w:r>
      <w:r>
        <w:rPr>
          <w:rFonts w:ascii="FangSong_GB2312" w:hAnsi="FangSong_GB2312" w:eastAsia="FangSong_GB2312" w:cs="FangSong_GB2312"/>
          <w:kern w:val="0"/>
          <w:sz w:val="32"/>
          <w:szCs w:val="32"/>
        </w:rPr>
        <w:t>万元，增长</w:t>
      </w:r>
      <w:r>
        <w:rPr>
          <w:rFonts w:eastAsia="Times New Roman"/>
          <w:kern w:val="0"/>
          <w:sz w:val="32"/>
          <w:szCs w:val="32"/>
          <w:u w:val="none"/>
          <w:lang w:eastAsia="en-US"/>
        </w:rPr>
        <w:t xml:space="preserve"> 6.56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仿宋_GB2312" w:hAnsi="仿宋_GB2312" w:eastAsia="仿宋_GB2312" w:cs="仿宋_GB2312"/>
          <w:b w:val="0"/>
          <w:bCs w:val="0"/>
          <w:kern w:val="0"/>
          <w:sz w:val="32"/>
          <w:szCs w:val="32"/>
          <w:lang w:eastAsia="zh-CN"/>
        </w:rPr>
        <w:t>人员工资增加，日常公用经费增加</w:t>
      </w:r>
      <w:r>
        <w:rPr>
          <w:rFonts w:ascii="FangSong_GB2312" w:hAnsi="FangSong_GB2312" w:eastAsia="FangSong_GB2312" w:cs="FangSong_GB2312"/>
          <w:kern w:val="0"/>
          <w:sz w:val="32"/>
          <w:szCs w:val="32"/>
        </w:rPr>
        <w:t>；与上年决算相比，收、支总计各减少</w:t>
      </w:r>
      <w:r>
        <w:rPr>
          <w:rFonts w:eastAsia="Times New Roman"/>
          <w:kern w:val="0"/>
          <w:sz w:val="32"/>
          <w:szCs w:val="32"/>
          <w:u w:val="none"/>
          <w:lang w:eastAsia="en-US"/>
        </w:rPr>
        <w:t>1.81</w:t>
      </w:r>
      <w:r>
        <w:rPr>
          <w:rFonts w:ascii="FangSong_GB2312" w:hAnsi="FangSong_GB2312" w:eastAsia="FangSong_GB2312" w:cs="FangSong_GB2312"/>
          <w:kern w:val="0"/>
          <w:sz w:val="32"/>
          <w:szCs w:val="32"/>
        </w:rPr>
        <w:t>万元，下降</w:t>
      </w:r>
      <w:r>
        <w:rPr>
          <w:rFonts w:eastAsia="Times New Roman"/>
          <w:kern w:val="0"/>
          <w:sz w:val="32"/>
          <w:szCs w:val="32"/>
          <w:u w:val="none"/>
          <w:lang w:eastAsia="en-US"/>
        </w:rPr>
        <w:t xml:space="preserve"> -0.36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r>
        <w:rPr>
          <w:rFonts w:hint="eastAsia" w:ascii="仿宋_GB2312" w:hAnsi="仿宋_GB2312" w:eastAsia="仿宋_GB2312" w:cs="仿宋_GB2312"/>
          <w:b w:val="0"/>
          <w:bCs w:val="0"/>
          <w:kern w:val="0"/>
          <w:sz w:val="32"/>
          <w:szCs w:val="32"/>
          <w:lang w:eastAsia="zh-CN"/>
        </w:rPr>
        <w:t>人员工资减少，日常公用经费减少。</w:t>
      </w:r>
    </w:p>
    <w:p w14:paraId="33CFA041">
      <w:pPr>
        <w:pStyle w:val="32"/>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none"/>
          <w:lang w:eastAsia="en-US"/>
        </w:rPr>
        <w:t xml:space="preserve"> </w:t>
      </w:r>
      <w:r>
        <w:rPr>
          <w:rFonts w:eastAsia="Times New Roman"/>
          <w:b/>
          <w:bCs/>
          <w:kern w:val="0"/>
          <w:sz w:val="32"/>
          <w:szCs w:val="32"/>
          <w:u w:val="none"/>
          <w:lang w:eastAsia="en-US"/>
        </w:rPr>
        <w:t>494.17</w:t>
      </w:r>
      <w:r>
        <w:rPr>
          <w:rFonts w:ascii="楷体" w:hAnsi="楷体" w:eastAsia="楷体" w:cs="楷体"/>
          <w:b/>
          <w:bCs/>
          <w:kern w:val="0"/>
          <w:sz w:val="32"/>
          <w:szCs w:val="32"/>
        </w:rPr>
        <w:t>万元。包括：</w:t>
      </w:r>
    </w:p>
    <w:p w14:paraId="46B7C87E">
      <w:pPr>
        <w:pStyle w:val="32"/>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none"/>
          <w:lang w:eastAsia="en-US"/>
        </w:rPr>
        <w:t xml:space="preserve"> 494.17</w:t>
      </w:r>
      <w:r>
        <w:rPr>
          <w:rFonts w:ascii="FangSong_GB2312" w:hAnsi="FangSong_GB2312" w:eastAsia="FangSong_GB2312" w:cs="FangSong_GB2312"/>
          <w:kern w:val="0"/>
          <w:sz w:val="32"/>
          <w:szCs w:val="32"/>
        </w:rPr>
        <w:t>万元。与上年决算相比，减少</w:t>
      </w:r>
      <w:r>
        <w:rPr>
          <w:rFonts w:eastAsia="Times New Roman"/>
          <w:kern w:val="0"/>
          <w:sz w:val="32"/>
          <w:szCs w:val="32"/>
          <w:u w:val="none"/>
          <w:lang w:eastAsia="en-US"/>
        </w:rPr>
        <w:t xml:space="preserve"> 1.81</w:t>
      </w:r>
      <w:r>
        <w:rPr>
          <w:rFonts w:ascii="FangSong_GB2312" w:hAnsi="FangSong_GB2312" w:eastAsia="FangSong_GB2312" w:cs="FangSong_GB2312"/>
          <w:kern w:val="0"/>
          <w:sz w:val="32"/>
          <w:szCs w:val="32"/>
        </w:rPr>
        <w:t>万元，下降</w:t>
      </w:r>
      <w:r>
        <w:rPr>
          <w:rFonts w:eastAsia="Times New Roman"/>
          <w:kern w:val="0"/>
          <w:sz w:val="32"/>
          <w:szCs w:val="32"/>
          <w:u w:val="none"/>
          <w:lang w:eastAsia="en-US"/>
        </w:rPr>
        <w:t>0.36</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rPr>
        <w:t>，变动原因：</w:t>
      </w:r>
      <w:r>
        <w:rPr>
          <w:rFonts w:hint="eastAsia" w:ascii="仿宋_GB2312" w:hAnsi="仿宋_GB2312" w:eastAsia="仿宋_GB2312" w:cs="仿宋_GB2312"/>
          <w:b w:val="0"/>
          <w:bCs w:val="0"/>
          <w:kern w:val="0"/>
          <w:sz w:val="32"/>
          <w:szCs w:val="32"/>
          <w:lang w:eastAsia="zh-CN"/>
        </w:rPr>
        <w:t>人员工资减少，日常公用经费减少。</w:t>
      </w:r>
    </w:p>
    <w:p w14:paraId="636E6648">
      <w:pPr>
        <w:pStyle w:val="32"/>
        <w:widowControl/>
        <w:spacing w:before="240" w:after="240" w:line="560" w:lineRule="atLeast"/>
        <w:ind w:firstLine="640"/>
        <w:jc w:val="left"/>
        <w:rPr>
          <w:rFonts w:ascii="Times New Roman" w:hAnsi="Times New Roman" w:eastAsia="Times New Roman" w:cs="Times New Roman"/>
          <w:kern w:val="0"/>
          <w:sz w:val="24"/>
        </w:rPr>
      </w:pPr>
    </w:p>
    <w:p w14:paraId="1A9E3A7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b w:val="0"/>
          <w:bCs w:val="0"/>
          <w:kern w:val="0"/>
          <w:sz w:val="32"/>
          <w:szCs w:val="32"/>
          <w:u w:val="none"/>
          <w:lang w:eastAsia="zh-CN"/>
        </w:rPr>
      </w:pPr>
      <w:r>
        <w:rPr>
          <w:rFonts w:eastAsia="Times New Roman"/>
          <w:kern w:val="0"/>
          <w:sz w:val="32"/>
          <w:szCs w:val="32"/>
          <w:u w:val="none"/>
          <w:lang w:eastAsia="en-US"/>
        </w:rPr>
        <w:t>2</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使用非财政拨款结余（含专用结余）</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万元。与上年决算相比，增加</w:t>
      </w:r>
      <w:r>
        <w:rPr>
          <w:rFonts w:eastAsia="Times New Roman"/>
          <w:kern w:val="0"/>
          <w:sz w:val="32"/>
          <w:szCs w:val="32"/>
          <w:u w:val="none"/>
          <w:lang w:eastAsia="en-US"/>
        </w:rPr>
        <w:t>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仿宋_GB2312" w:hAnsi="仿宋_GB2312" w:eastAsia="仿宋_GB2312" w:cs="仿宋_GB2312"/>
          <w:b w:val="0"/>
          <w:bCs w:val="0"/>
          <w:kern w:val="0"/>
          <w:sz w:val="32"/>
          <w:szCs w:val="32"/>
          <w:u w:val="none"/>
          <w:lang w:eastAsia="zh-CN"/>
        </w:rPr>
        <w:t>本年无非财政拨款结转结余</w:t>
      </w:r>
      <w:r>
        <w:rPr>
          <w:rFonts w:hint="default" w:ascii="仿宋_GB2312" w:hAnsi="仿宋_GB2312" w:eastAsia="仿宋_GB2312" w:cs="仿宋_GB2312"/>
          <w:b w:val="0"/>
          <w:bCs w:val="0"/>
          <w:kern w:val="0"/>
          <w:sz w:val="32"/>
          <w:szCs w:val="32"/>
          <w:u w:val="none"/>
          <w:lang w:eastAsia="zh-CN"/>
        </w:rPr>
        <w:t>。</w:t>
      </w:r>
    </w:p>
    <w:p w14:paraId="1A13F2D5">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3</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年初结转和结余</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万元。与上年决算相比，增加（减少）</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万元，增长（下降）</w:t>
      </w:r>
      <w:r>
        <w:rPr>
          <w:rFonts w:eastAsia="Times New Roman"/>
          <w:kern w:val="0"/>
          <w:sz w:val="32"/>
          <w:szCs w:val="32"/>
          <w:u w:val="none"/>
          <w:lang w:eastAsia="en-US"/>
        </w:rPr>
        <w:t>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仿宋_GB2312" w:hAnsi="仿宋_GB2312" w:eastAsia="仿宋_GB2312" w:cs="仿宋_GB2312"/>
          <w:b w:val="0"/>
          <w:bCs w:val="0"/>
          <w:kern w:val="0"/>
          <w:sz w:val="32"/>
          <w:szCs w:val="32"/>
          <w:u w:val="none"/>
          <w:lang w:eastAsia="zh-CN"/>
        </w:rPr>
        <w:t>我局无年初结转结余</w:t>
      </w:r>
      <w:r>
        <w:rPr>
          <w:rFonts w:hint="default" w:ascii="仿宋_GB2312" w:hAnsi="仿宋_GB2312" w:eastAsia="仿宋_GB2312" w:cs="仿宋_GB2312"/>
          <w:b w:val="0"/>
          <w:bCs w:val="0"/>
          <w:kern w:val="0"/>
          <w:sz w:val="32"/>
          <w:szCs w:val="32"/>
          <w:u w:val="none"/>
          <w:lang w:eastAsia="zh-CN"/>
        </w:rPr>
        <w:t>。</w:t>
      </w:r>
    </w:p>
    <w:p w14:paraId="55F3D0D2">
      <w:pPr>
        <w:pStyle w:val="32"/>
        <w:widowControl/>
        <w:spacing w:before="240" w:after="240" w:line="560" w:lineRule="atLeast"/>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u w:val="none"/>
        </w:rPr>
        <w:t>（二）支出决算总计</w:t>
      </w:r>
      <w:r>
        <w:rPr>
          <w:rFonts w:eastAsia="Times New Roman"/>
          <w:b/>
          <w:bCs/>
          <w:kern w:val="0"/>
          <w:sz w:val="32"/>
          <w:szCs w:val="32"/>
          <w:u w:val="none"/>
          <w:lang w:eastAsia="en-US"/>
        </w:rPr>
        <w:t xml:space="preserve"> 494.17</w:t>
      </w:r>
      <w:r>
        <w:rPr>
          <w:rFonts w:ascii="楷体" w:hAnsi="楷体" w:eastAsia="楷体" w:cs="楷体"/>
          <w:b/>
          <w:bCs/>
          <w:kern w:val="0"/>
          <w:sz w:val="32"/>
          <w:szCs w:val="32"/>
          <w:u w:val="none"/>
        </w:rPr>
        <w:t>万元。包括：</w:t>
      </w:r>
    </w:p>
    <w:p w14:paraId="79272761">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1</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本年支出决算合计</w:t>
      </w:r>
      <w:r>
        <w:rPr>
          <w:rFonts w:eastAsia="Times New Roman"/>
          <w:kern w:val="0"/>
          <w:sz w:val="32"/>
          <w:szCs w:val="32"/>
          <w:u w:val="none"/>
          <w:lang w:eastAsia="en-US"/>
        </w:rPr>
        <w:t xml:space="preserve"> 494.17</w:t>
      </w:r>
      <w:r>
        <w:rPr>
          <w:rFonts w:ascii="FangSong_GB2312" w:hAnsi="FangSong_GB2312" w:eastAsia="FangSong_GB2312" w:cs="FangSong_GB2312"/>
          <w:kern w:val="0"/>
          <w:sz w:val="32"/>
          <w:szCs w:val="32"/>
          <w:u w:val="none"/>
        </w:rPr>
        <w:t>万元。与上年决算相比，减少</w:t>
      </w:r>
      <w:r>
        <w:rPr>
          <w:rFonts w:eastAsia="Times New Roman"/>
          <w:kern w:val="0"/>
          <w:sz w:val="32"/>
          <w:szCs w:val="32"/>
          <w:u w:val="none"/>
          <w:lang w:eastAsia="en-US"/>
        </w:rPr>
        <w:t>1.81</w:t>
      </w:r>
      <w:r>
        <w:rPr>
          <w:rFonts w:ascii="FangSong_GB2312" w:hAnsi="FangSong_GB2312" w:eastAsia="FangSong_GB2312" w:cs="FangSong_GB2312"/>
          <w:kern w:val="0"/>
          <w:sz w:val="32"/>
          <w:szCs w:val="32"/>
          <w:u w:val="none"/>
        </w:rPr>
        <w:t>万元，</w:t>
      </w:r>
      <w:r>
        <w:rPr>
          <w:rFonts w:eastAsia="Times New Roman"/>
          <w:kern w:val="0"/>
          <w:sz w:val="32"/>
          <w:szCs w:val="32"/>
          <w:u w:val="none"/>
          <w:lang w:eastAsia="en-US"/>
        </w:rPr>
        <w:t>0.36</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仿宋_GB2312" w:hAnsi="仿宋_GB2312" w:eastAsia="仿宋_GB2312" w:cs="仿宋_GB2312"/>
          <w:b w:val="0"/>
          <w:bCs w:val="0"/>
          <w:kern w:val="0"/>
          <w:sz w:val="32"/>
          <w:szCs w:val="32"/>
          <w:u w:val="none"/>
          <w:lang w:eastAsia="zh-CN"/>
        </w:rPr>
        <w:t>人员工资减少，日常公用经费减少。</w:t>
      </w:r>
    </w:p>
    <w:p w14:paraId="1E3C362C">
      <w:pPr>
        <w:pStyle w:val="2"/>
        <w:ind w:firstLine="640" w:firstLineChars="200"/>
        <w:rPr>
          <w:rFonts w:hint="default" w:ascii="仿宋_GB2312" w:hAnsi="仿宋_GB2312" w:eastAsia="仿宋_GB2312" w:cs="仿宋_GB2312"/>
          <w:b w:val="0"/>
          <w:bCs w:val="0"/>
          <w:kern w:val="0"/>
          <w:sz w:val="32"/>
          <w:szCs w:val="32"/>
          <w:lang w:eastAsia="zh-CN"/>
        </w:rPr>
      </w:pPr>
      <w:r>
        <w:rPr>
          <w:rFonts w:hint="default" w:ascii="FangSong_GB2312" w:hAnsi="FangSong_GB2312" w:eastAsia="FangSong_GB2312" w:cs="FangSong_GB2312"/>
          <w:b w:val="0"/>
          <w:kern w:val="0"/>
          <w:sz w:val="32"/>
          <w:szCs w:val="32"/>
          <w:u w:val="none"/>
          <w:lang w:val="en-US" w:eastAsia="en-US" w:bidi="ar-SA"/>
        </w:rPr>
        <w:t>2.</w:t>
      </w:r>
      <w:r>
        <w:rPr>
          <w:rFonts w:hint="default" w:ascii="FangSong_GB2312" w:hAnsi="FangSong_GB2312" w:eastAsia="FangSong_GB2312" w:cs="FangSong_GB2312"/>
          <w:b w:val="0"/>
          <w:kern w:val="0"/>
          <w:sz w:val="32"/>
          <w:szCs w:val="32"/>
          <w:u w:val="none"/>
          <w:lang w:val="en-US" w:eastAsia="zh-CN" w:bidi="ar-SA"/>
        </w:rPr>
        <w:t>结余分配</w:t>
      </w:r>
      <w:r>
        <w:rPr>
          <w:rFonts w:hint="default" w:ascii="FangSong_GB2312" w:hAnsi="FangSong_GB2312" w:eastAsia="FangSong_GB2312" w:cs="FangSong_GB2312"/>
          <w:b w:val="0"/>
          <w:kern w:val="0"/>
          <w:sz w:val="32"/>
          <w:szCs w:val="32"/>
          <w:u w:val="none"/>
          <w:lang w:val="en-US" w:eastAsia="en-US" w:bidi="ar-SA"/>
        </w:rPr>
        <w:t xml:space="preserve"> 0</w:t>
      </w:r>
      <w:r>
        <w:rPr>
          <w:rFonts w:hint="default" w:ascii="FangSong_GB2312" w:hAnsi="FangSong_GB2312" w:eastAsia="FangSong_GB2312" w:cs="FangSong_GB2312"/>
          <w:b w:val="0"/>
          <w:kern w:val="0"/>
          <w:sz w:val="32"/>
          <w:szCs w:val="32"/>
          <w:u w:val="none"/>
          <w:lang w:val="en-US" w:eastAsia="zh-CN" w:bidi="ar-SA"/>
        </w:rPr>
        <w:t>万元。结余分配事项：</w:t>
      </w:r>
      <w:r>
        <w:rPr>
          <w:rFonts w:hint="eastAsia" w:ascii="FangSong_GB2312" w:hAnsi="FangSong_GB2312" w:eastAsia="FangSong_GB2312" w:cs="FangSong_GB2312"/>
          <w:b w:val="0"/>
          <w:kern w:val="0"/>
          <w:sz w:val="32"/>
          <w:szCs w:val="32"/>
          <w:u w:val="none"/>
          <w:lang w:val="en-US" w:eastAsia="zh-CN" w:bidi="ar-SA"/>
        </w:rPr>
        <w:t>无</w:t>
      </w:r>
      <w:r>
        <w:rPr>
          <w:rFonts w:hint="default" w:ascii="FangSong_GB2312" w:hAnsi="FangSong_GB2312" w:eastAsia="FangSong_GB2312" w:cs="FangSong_GB2312"/>
          <w:b w:val="0"/>
          <w:kern w:val="0"/>
          <w:sz w:val="32"/>
          <w:szCs w:val="32"/>
          <w:u w:val="none"/>
          <w:lang w:val="en-US" w:eastAsia="zh-CN" w:bidi="ar-SA"/>
        </w:rPr>
        <w:t>。与上年决算相比，增加</w:t>
      </w:r>
      <w:r>
        <w:rPr>
          <w:rFonts w:hint="default" w:ascii="FangSong_GB2312" w:hAnsi="FangSong_GB2312" w:eastAsia="FangSong_GB2312" w:cs="FangSong_GB2312"/>
          <w:b w:val="0"/>
          <w:kern w:val="0"/>
          <w:sz w:val="32"/>
          <w:szCs w:val="32"/>
          <w:u w:val="none"/>
          <w:lang w:val="en-US" w:eastAsia="en-US" w:bidi="ar-SA"/>
        </w:rPr>
        <w:t xml:space="preserve"> 0</w:t>
      </w:r>
      <w:r>
        <w:rPr>
          <w:rFonts w:hint="default" w:ascii="FangSong_GB2312" w:hAnsi="FangSong_GB2312" w:eastAsia="FangSong_GB2312" w:cs="FangSong_GB2312"/>
          <w:b w:val="0"/>
          <w:kern w:val="0"/>
          <w:sz w:val="32"/>
          <w:szCs w:val="32"/>
          <w:u w:val="none"/>
          <w:lang w:val="en-US" w:eastAsia="zh-CN" w:bidi="ar-SA"/>
        </w:rPr>
        <w:t>万元，增长</w:t>
      </w:r>
      <w:r>
        <w:rPr>
          <w:rFonts w:hint="default" w:ascii="FangSong_GB2312" w:hAnsi="FangSong_GB2312" w:eastAsia="FangSong_GB2312" w:cs="FangSong_GB2312"/>
          <w:b w:val="0"/>
          <w:kern w:val="0"/>
          <w:sz w:val="32"/>
          <w:szCs w:val="32"/>
          <w:u w:val="none"/>
          <w:lang w:val="en-US" w:eastAsia="en-US" w:bidi="ar-SA"/>
        </w:rPr>
        <w:t xml:space="preserve"> 0%</w:t>
      </w:r>
      <w:r>
        <w:rPr>
          <w:rFonts w:hint="default" w:ascii="FangSong_GB2312" w:hAnsi="FangSong_GB2312" w:eastAsia="FangSong_GB2312" w:cs="FangSong_GB2312"/>
          <w:b w:val="0"/>
          <w:kern w:val="0"/>
          <w:sz w:val="32"/>
          <w:szCs w:val="32"/>
          <w:u w:val="none"/>
          <w:lang w:val="en-US" w:eastAsia="zh-CN" w:bidi="ar-SA"/>
        </w:rPr>
        <w:t>，变动原因：</w:t>
      </w:r>
      <w:r>
        <w:rPr>
          <w:rFonts w:hint="eastAsia" w:ascii="仿宋_GB2312" w:hAnsi="仿宋_GB2312" w:eastAsia="仿宋_GB2312" w:cs="仿宋_GB2312"/>
          <w:b w:val="0"/>
          <w:bCs w:val="0"/>
          <w:kern w:val="0"/>
          <w:sz w:val="32"/>
          <w:szCs w:val="32"/>
          <w:lang w:eastAsia="zh-CN"/>
        </w:rPr>
        <w:t>我单位不存在此项内容</w:t>
      </w:r>
      <w:r>
        <w:rPr>
          <w:rFonts w:hint="default" w:ascii="仿宋_GB2312" w:hAnsi="仿宋_GB2312" w:eastAsia="仿宋_GB2312" w:cs="仿宋_GB2312"/>
          <w:b w:val="0"/>
          <w:bCs w:val="0"/>
          <w:kern w:val="0"/>
          <w:sz w:val="32"/>
          <w:szCs w:val="32"/>
          <w:lang w:eastAsia="zh-CN"/>
        </w:rPr>
        <w:t>。</w:t>
      </w:r>
    </w:p>
    <w:p w14:paraId="62705958">
      <w:pPr>
        <w:pStyle w:val="2"/>
        <w:ind w:firstLine="640" w:firstLineChars="200"/>
        <w:rPr>
          <w:rFonts w:hint="default" w:ascii="仿宋_GB2312" w:hAnsi="仿宋_GB2312" w:eastAsia="仿宋_GB2312" w:cs="仿宋_GB2312"/>
          <w:b w:val="0"/>
          <w:bCs w:val="0"/>
          <w:kern w:val="0"/>
          <w:sz w:val="32"/>
          <w:szCs w:val="32"/>
          <w:lang w:eastAsia="zh-CN"/>
        </w:rPr>
      </w:pPr>
      <w:r>
        <w:rPr>
          <w:rFonts w:hint="default" w:ascii="FangSong_GB2312" w:hAnsi="FangSong_GB2312" w:eastAsia="FangSong_GB2312" w:cs="FangSong_GB2312"/>
          <w:b w:val="0"/>
          <w:kern w:val="0"/>
          <w:sz w:val="32"/>
          <w:szCs w:val="32"/>
          <w:u w:val="none"/>
          <w:lang w:val="en-US" w:eastAsia="en-US" w:bidi="ar-SA"/>
        </w:rPr>
        <w:t>3.</w:t>
      </w:r>
      <w:r>
        <w:rPr>
          <w:rFonts w:hint="default" w:ascii="FangSong_GB2312" w:hAnsi="FangSong_GB2312" w:eastAsia="FangSong_GB2312" w:cs="FangSong_GB2312"/>
          <w:b w:val="0"/>
          <w:kern w:val="0"/>
          <w:sz w:val="32"/>
          <w:szCs w:val="32"/>
          <w:u w:val="none"/>
          <w:lang w:val="en-US" w:eastAsia="zh-CN" w:bidi="ar-SA"/>
        </w:rPr>
        <w:t>年末结转和结余</w:t>
      </w:r>
      <w:r>
        <w:rPr>
          <w:rFonts w:hint="default" w:ascii="FangSong_GB2312" w:hAnsi="FangSong_GB2312" w:eastAsia="FangSong_GB2312" w:cs="FangSong_GB2312"/>
          <w:b w:val="0"/>
          <w:kern w:val="0"/>
          <w:sz w:val="32"/>
          <w:szCs w:val="32"/>
          <w:u w:val="none"/>
          <w:lang w:val="en-US" w:eastAsia="en-US" w:bidi="ar-SA"/>
        </w:rPr>
        <w:t xml:space="preserve"> 0</w:t>
      </w:r>
      <w:r>
        <w:rPr>
          <w:rFonts w:hint="default" w:ascii="FangSong_GB2312" w:hAnsi="FangSong_GB2312" w:eastAsia="FangSong_GB2312" w:cs="FangSong_GB2312"/>
          <w:b w:val="0"/>
          <w:kern w:val="0"/>
          <w:sz w:val="32"/>
          <w:szCs w:val="32"/>
          <w:u w:val="none"/>
          <w:lang w:val="en-US" w:eastAsia="zh-CN" w:bidi="ar-SA"/>
        </w:rPr>
        <w:t>万元。结转和结余事项：</w:t>
      </w:r>
      <w:r>
        <w:rPr>
          <w:rFonts w:hint="eastAsia" w:ascii="FangSong_GB2312" w:hAnsi="FangSong_GB2312" w:eastAsia="FangSong_GB2312" w:cs="FangSong_GB2312"/>
          <w:b w:val="0"/>
          <w:kern w:val="0"/>
          <w:sz w:val="32"/>
          <w:szCs w:val="32"/>
          <w:u w:val="none"/>
          <w:lang w:val="en-US" w:eastAsia="zh-CN" w:bidi="ar-SA"/>
        </w:rPr>
        <w:t>无</w:t>
      </w:r>
      <w:r>
        <w:rPr>
          <w:rFonts w:hint="default" w:ascii="FangSong_GB2312" w:hAnsi="FangSong_GB2312" w:eastAsia="FangSong_GB2312" w:cs="FangSong_GB2312"/>
          <w:b w:val="0"/>
          <w:kern w:val="0"/>
          <w:sz w:val="32"/>
          <w:szCs w:val="32"/>
          <w:u w:val="none"/>
          <w:lang w:val="en-US" w:eastAsia="zh-CN" w:bidi="ar-SA"/>
        </w:rPr>
        <w:t>。与上年决算相比，增加 0万元，增长 0</w:t>
      </w:r>
      <w:r>
        <w:rPr>
          <w:rFonts w:hint="default" w:ascii="FangSong_GB2312" w:hAnsi="FangSong_GB2312" w:eastAsia="FangSong_GB2312" w:cs="FangSong_GB2312"/>
          <w:b w:val="0"/>
          <w:kern w:val="0"/>
          <w:sz w:val="32"/>
          <w:szCs w:val="32"/>
          <w:u w:val="none"/>
          <w:lang w:val="en-US" w:eastAsia="en-US" w:bidi="ar-SA"/>
        </w:rPr>
        <w:t>%</w:t>
      </w:r>
      <w:r>
        <w:rPr>
          <w:rFonts w:hint="default" w:ascii="FangSong_GB2312" w:hAnsi="FangSong_GB2312" w:eastAsia="FangSong_GB2312" w:cs="FangSong_GB2312"/>
          <w:b w:val="0"/>
          <w:kern w:val="0"/>
          <w:sz w:val="32"/>
          <w:szCs w:val="32"/>
          <w:u w:val="none"/>
          <w:lang w:val="en-US" w:eastAsia="zh-CN" w:bidi="ar-SA"/>
        </w:rPr>
        <w:t>，变动原因：</w:t>
      </w:r>
      <w:r>
        <w:rPr>
          <w:rFonts w:hint="eastAsia" w:ascii="仿宋_GB2312" w:hAnsi="仿宋_GB2312" w:eastAsia="仿宋_GB2312" w:cs="仿宋_GB2312"/>
          <w:b w:val="0"/>
          <w:bCs w:val="0"/>
          <w:kern w:val="0"/>
          <w:sz w:val="32"/>
          <w:szCs w:val="32"/>
          <w:lang w:eastAsia="zh-CN"/>
        </w:rPr>
        <w:t>我单位不存在此项内容</w:t>
      </w:r>
      <w:r>
        <w:rPr>
          <w:rFonts w:hint="default" w:ascii="仿宋_GB2312" w:hAnsi="仿宋_GB2312" w:eastAsia="仿宋_GB2312" w:cs="仿宋_GB2312"/>
          <w:b w:val="0"/>
          <w:bCs w:val="0"/>
          <w:kern w:val="0"/>
          <w:sz w:val="32"/>
          <w:szCs w:val="32"/>
          <w:lang w:eastAsia="zh-CN"/>
        </w:rPr>
        <w:t>。</w:t>
      </w:r>
    </w:p>
    <w:p w14:paraId="4121163A">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33FA574D">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乌海市文化市场综合行政执法局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none"/>
          <w:lang w:eastAsia="en-US"/>
        </w:rPr>
        <w:t xml:space="preserve"> 494.17</w:t>
      </w:r>
      <w:r>
        <w:rPr>
          <w:rFonts w:ascii="FangSong_GB2312" w:hAnsi="FangSong_GB2312" w:eastAsia="FangSong_GB2312" w:cs="FangSong_GB2312"/>
          <w:kern w:val="0"/>
          <w:sz w:val="32"/>
          <w:szCs w:val="32"/>
        </w:rPr>
        <w:t>万元，其中：</w:t>
      </w:r>
    </w:p>
    <w:p w14:paraId="0D669957">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一般公共预算财政拨款收入</w:t>
      </w:r>
      <w:r>
        <w:rPr>
          <w:rFonts w:eastAsia="Times New Roman"/>
          <w:kern w:val="0"/>
          <w:sz w:val="32"/>
          <w:szCs w:val="32"/>
          <w:u w:val="none"/>
          <w:lang w:eastAsia="en-US"/>
        </w:rPr>
        <w:t xml:space="preserve"> 494.17</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100.00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36A9477C">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政府性基金预算财政拨款收入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318B52A5">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国有资本经营预算财政拨款收入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6E8BE8AD">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上级补助收入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0D37C583">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事业收入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28EC36A9">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经营收入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470114A1">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附属单位上缴收入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18C1C37E">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u w:val="none"/>
        </w:rPr>
        <w:t>其他收入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1529D359">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554345" cy="3471545"/>
            <wp:effectExtent l="0" t="0" r="825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554345" cy="3471545"/>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671FDB70">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28FE9706">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0774D076">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乌海市文化市场综合行政执法局</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年度本年支出决算合计</w:t>
      </w:r>
      <w:r>
        <w:rPr>
          <w:rFonts w:eastAsia="Times New Roman"/>
          <w:kern w:val="0"/>
          <w:sz w:val="32"/>
          <w:szCs w:val="32"/>
          <w:u w:val="none"/>
          <w:lang w:eastAsia="en-US"/>
        </w:rPr>
        <w:t xml:space="preserve"> 494.17</w:t>
      </w:r>
      <w:r>
        <w:rPr>
          <w:rFonts w:ascii="FangSong_GB2312" w:hAnsi="FangSong_GB2312" w:eastAsia="FangSong_GB2312" w:cs="FangSong_GB2312"/>
          <w:kern w:val="0"/>
          <w:sz w:val="32"/>
          <w:szCs w:val="32"/>
          <w:u w:val="none"/>
        </w:rPr>
        <w:t>万元，其中：</w:t>
      </w:r>
    </w:p>
    <w:p w14:paraId="50D73D07">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基本支出</w:t>
      </w:r>
      <w:r>
        <w:rPr>
          <w:rFonts w:eastAsia="Times New Roman"/>
          <w:kern w:val="0"/>
          <w:sz w:val="32"/>
          <w:szCs w:val="32"/>
          <w:u w:val="none"/>
          <w:lang w:eastAsia="en-US"/>
        </w:rPr>
        <w:t xml:space="preserve"> 474.31</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95.98</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2A926B33">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项目支出</w:t>
      </w:r>
      <w:r>
        <w:rPr>
          <w:rFonts w:eastAsia="Times New Roman"/>
          <w:kern w:val="0"/>
          <w:sz w:val="32"/>
          <w:szCs w:val="32"/>
          <w:u w:val="none"/>
          <w:lang w:eastAsia="en-US"/>
        </w:rPr>
        <w:t xml:space="preserve"> 19.86</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4.02</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7A66106A">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上缴上级支出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3BE75517">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经营支出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623A549F">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对附属单位补助支出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5DA82CE2">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929630" cy="3705860"/>
            <wp:effectExtent l="0" t="0" r="1397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929630" cy="370586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0022AD59">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7AC3B2B2">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2CCD480C">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乌海市文化市场综合行政执法局</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年度财政拨款收入、支出决算总计均为</w:t>
      </w:r>
      <w:r>
        <w:rPr>
          <w:rFonts w:eastAsia="Times New Roman"/>
          <w:kern w:val="0"/>
          <w:sz w:val="32"/>
          <w:szCs w:val="32"/>
          <w:u w:val="none"/>
          <w:lang w:eastAsia="en-US"/>
        </w:rPr>
        <w:t xml:space="preserve"> 494.17</w:t>
      </w:r>
      <w:r>
        <w:rPr>
          <w:rFonts w:ascii="FangSong_GB2312" w:hAnsi="FangSong_GB2312" w:eastAsia="FangSong_GB2312" w:cs="FangSong_GB2312"/>
          <w:kern w:val="0"/>
          <w:sz w:val="32"/>
          <w:szCs w:val="32"/>
          <w:u w:val="none"/>
        </w:rPr>
        <w:t>万元，与年初预算相比，收、支总计各增加</w:t>
      </w:r>
      <w:r>
        <w:rPr>
          <w:rFonts w:eastAsia="Times New Roman"/>
          <w:kern w:val="0"/>
          <w:sz w:val="32"/>
          <w:szCs w:val="32"/>
          <w:u w:val="none"/>
          <w:lang w:eastAsia="en-US"/>
        </w:rPr>
        <w:t xml:space="preserve"> 30.40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6.56</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仿宋_GB2312" w:hAnsi="仿宋_GB2312" w:eastAsia="仿宋_GB2312" w:cs="仿宋_GB2312"/>
          <w:b w:val="0"/>
          <w:bCs w:val="0"/>
          <w:kern w:val="0"/>
          <w:sz w:val="32"/>
          <w:szCs w:val="32"/>
          <w:u w:val="none"/>
          <w:lang w:eastAsia="zh-CN"/>
        </w:rPr>
        <w:t>人员工资增加，日常公用经费增加</w:t>
      </w:r>
      <w:r>
        <w:rPr>
          <w:rFonts w:ascii="FangSong_GB2312" w:hAnsi="FangSong_GB2312" w:eastAsia="FangSong_GB2312" w:cs="FangSong_GB2312"/>
          <w:kern w:val="0"/>
          <w:sz w:val="32"/>
          <w:szCs w:val="32"/>
          <w:u w:val="none"/>
        </w:rPr>
        <w:t>；与上年决算相比，收、支总计各减少</w:t>
      </w:r>
      <w:r>
        <w:rPr>
          <w:rFonts w:eastAsia="Times New Roman"/>
          <w:kern w:val="0"/>
          <w:sz w:val="32"/>
          <w:szCs w:val="32"/>
          <w:u w:val="none"/>
          <w:lang w:eastAsia="en-US"/>
        </w:rPr>
        <w:t>1.81</w:t>
      </w:r>
      <w:r>
        <w:rPr>
          <w:rFonts w:ascii="FangSong_GB2312" w:hAnsi="FangSong_GB2312" w:eastAsia="FangSong_GB2312" w:cs="FangSong_GB2312"/>
          <w:kern w:val="0"/>
          <w:sz w:val="32"/>
          <w:szCs w:val="32"/>
          <w:u w:val="none"/>
        </w:rPr>
        <w:t>万元，下降</w:t>
      </w:r>
      <w:r>
        <w:rPr>
          <w:rFonts w:eastAsia="Times New Roman"/>
          <w:kern w:val="0"/>
          <w:sz w:val="32"/>
          <w:szCs w:val="32"/>
          <w:u w:val="none"/>
          <w:lang w:eastAsia="en-US"/>
        </w:rPr>
        <w:t>0.36</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仿宋_GB2312" w:hAnsi="仿宋_GB2312" w:eastAsia="仿宋_GB2312" w:cs="仿宋_GB2312"/>
          <w:b w:val="0"/>
          <w:bCs w:val="0"/>
          <w:kern w:val="0"/>
          <w:sz w:val="32"/>
          <w:szCs w:val="32"/>
          <w:u w:val="none"/>
          <w:lang w:eastAsia="zh-CN"/>
        </w:rPr>
        <w:t>人员工资减少，日常公用经费减少</w:t>
      </w:r>
      <w:r>
        <w:rPr>
          <w:rFonts w:ascii="FangSong_GB2312" w:hAnsi="FangSong_GB2312" w:eastAsia="FangSong_GB2312" w:cs="FangSong_GB2312"/>
          <w:kern w:val="0"/>
          <w:sz w:val="32"/>
          <w:szCs w:val="32"/>
          <w:u w:val="none"/>
        </w:rPr>
        <w:t>。</w:t>
      </w:r>
    </w:p>
    <w:p w14:paraId="09D3D92A">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3B751C01">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乌海市文化市场综合行政执法局</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年度一般公共预算财政拨款支出决算</w:t>
      </w:r>
      <w:r>
        <w:rPr>
          <w:rFonts w:eastAsia="Times New Roman"/>
          <w:kern w:val="0"/>
          <w:sz w:val="32"/>
          <w:szCs w:val="32"/>
          <w:u w:val="none"/>
          <w:lang w:eastAsia="en-US"/>
        </w:rPr>
        <w:t xml:space="preserve"> 494.17</w:t>
      </w:r>
      <w:r>
        <w:rPr>
          <w:rFonts w:ascii="FangSong_GB2312" w:hAnsi="FangSong_GB2312" w:eastAsia="FangSong_GB2312" w:cs="FangSong_GB2312"/>
          <w:kern w:val="0"/>
          <w:sz w:val="32"/>
          <w:szCs w:val="32"/>
          <w:u w:val="none"/>
        </w:rPr>
        <w:t>万元。与年初预算</w:t>
      </w:r>
      <w:r>
        <w:rPr>
          <w:rFonts w:eastAsia="Times New Roman"/>
          <w:kern w:val="0"/>
          <w:sz w:val="32"/>
          <w:szCs w:val="32"/>
          <w:u w:val="none"/>
          <w:lang w:eastAsia="en-US"/>
        </w:rPr>
        <w:t xml:space="preserve"> 463.77</w:t>
      </w:r>
      <w:r>
        <w:rPr>
          <w:rFonts w:ascii="FangSong_GB2312" w:hAnsi="FangSong_GB2312" w:eastAsia="FangSong_GB2312" w:cs="FangSong_GB2312"/>
          <w:kern w:val="0"/>
          <w:sz w:val="32"/>
          <w:szCs w:val="32"/>
          <w:u w:val="none"/>
        </w:rPr>
        <w:t>万元相比，完成年初预算的</w:t>
      </w:r>
      <w:r>
        <w:rPr>
          <w:rFonts w:eastAsia="Times New Roman"/>
          <w:kern w:val="0"/>
          <w:sz w:val="32"/>
          <w:szCs w:val="32"/>
          <w:u w:val="none"/>
          <w:lang w:eastAsia="en-US"/>
        </w:rPr>
        <w:t xml:space="preserve"> 106.56</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。其中：</w:t>
      </w:r>
    </w:p>
    <w:p w14:paraId="3A661DED">
      <w:pPr>
        <w:pStyle w:val="32"/>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（一）一般公共服务（类）</w:t>
      </w:r>
    </w:p>
    <w:p w14:paraId="471C292E">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一般公共服务（类）决算数为</w:t>
      </w:r>
      <w:r>
        <w:rPr>
          <w:rFonts w:eastAsia="Times New Roman"/>
          <w:kern w:val="0"/>
          <w:sz w:val="32"/>
          <w:szCs w:val="32"/>
          <w:u w:val="none"/>
          <w:lang w:eastAsia="en-US"/>
        </w:rPr>
        <w:t xml:space="preserve"> 5.35</w:t>
      </w:r>
      <w:r>
        <w:rPr>
          <w:rFonts w:ascii="FangSong_GB2312" w:hAnsi="FangSong_GB2312" w:eastAsia="FangSong_GB2312" w:cs="FangSong_GB2312"/>
          <w:kern w:val="0"/>
          <w:sz w:val="32"/>
          <w:szCs w:val="32"/>
          <w:u w:val="none"/>
        </w:rPr>
        <w:t>万元，与年初预算相比增加</w:t>
      </w:r>
      <w:r>
        <w:rPr>
          <w:rFonts w:eastAsia="Times New Roman"/>
          <w:kern w:val="0"/>
          <w:sz w:val="32"/>
          <w:szCs w:val="32"/>
          <w:u w:val="none"/>
          <w:lang w:eastAsia="en-US"/>
        </w:rPr>
        <w:t>0</w:t>
      </w:r>
      <w:r>
        <w:rPr>
          <w:rFonts w:ascii="FangSong_GB2312" w:hAnsi="FangSong_GB2312" w:eastAsia="FangSong_GB2312" w:cs="FangSong_GB2312"/>
          <w:kern w:val="0"/>
          <w:sz w:val="32"/>
          <w:szCs w:val="32"/>
          <w:u w:val="none"/>
        </w:rPr>
        <w:t>万元。其中：</w:t>
      </w:r>
    </w:p>
    <w:p w14:paraId="49DE89B5">
      <w:pPr>
        <w:pStyle w:val="32"/>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仿宋_GB2312" w:hAnsi="仿宋_GB2312" w:eastAsia="仿宋_GB2312" w:cs="仿宋_GB2312"/>
          <w:b w:val="0"/>
          <w:bCs w:val="0"/>
          <w:kern w:val="0"/>
          <w:sz w:val="32"/>
          <w:szCs w:val="32"/>
          <w:lang w:eastAsia="zh-CN"/>
        </w:rPr>
        <w:t>群众团体事务（款）其他群众团体事务支出（项）。年初预算</w:t>
      </w:r>
      <w:r>
        <w:rPr>
          <w:rFonts w:hint="default" w:ascii="仿宋_GB2312" w:hAnsi="仿宋_GB2312" w:eastAsia="仿宋_GB2312" w:cs="仿宋_GB2312"/>
          <w:b w:val="0"/>
          <w:bCs w:val="0"/>
          <w:kern w:val="0"/>
          <w:sz w:val="32"/>
          <w:szCs w:val="32"/>
          <w:lang w:val="en-US" w:eastAsia="zh-CN"/>
        </w:rPr>
        <w:t>5.56</w:t>
      </w:r>
      <w:r>
        <w:rPr>
          <w:rFonts w:hint="eastAsia" w:ascii="仿宋_GB2312" w:hAnsi="仿宋_GB2312" w:eastAsia="仿宋_GB2312" w:cs="仿宋_GB2312"/>
          <w:b w:val="0"/>
          <w:bCs w:val="0"/>
          <w:kern w:val="0"/>
          <w:sz w:val="32"/>
          <w:szCs w:val="32"/>
          <w:lang w:eastAsia="zh-CN"/>
        </w:rPr>
        <w:t>万元，支出决算</w:t>
      </w:r>
      <w:r>
        <w:rPr>
          <w:rFonts w:hint="default" w:ascii="仿宋_GB2312" w:hAnsi="仿宋_GB2312" w:eastAsia="仿宋_GB2312" w:cs="仿宋_GB2312"/>
          <w:b w:val="0"/>
          <w:bCs w:val="0"/>
          <w:kern w:val="0"/>
          <w:sz w:val="32"/>
          <w:szCs w:val="32"/>
          <w:lang w:val="en-US" w:eastAsia="zh-CN"/>
        </w:rPr>
        <w:t>5.56</w:t>
      </w:r>
      <w:r>
        <w:rPr>
          <w:rFonts w:hint="eastAsia" w:ascii="仿宋_GB2312" w:hAnsi="仿宋_GB2312" w:eastAsia="仿宋_GB2312" w:cs="仿宋_GB2312"/>
          <w:b w:val="0"/>
          <w:bCs w:val="0"/>
          <w:kern w:val="0"/>
          <w:sz w:val="32"/>
          <w:szCs w:val="32"/>
          <w:lang w:eastAsia="zh-CN"/>
        </w:rPr>
        <w:t>万元，完成年初预算的</w:t>
      </w:r>
      <w:r>
        <w:rPr>
          <w:rFonts w:hint="default" w:ascii="仿宋_GB2312" w:hAnsi="仿宋_GB2312" w:eastAsia="仿宋_GB2312" w:cs="仿宋_GB2312"/>
          <w:b w:val="0"/>
          <w:bCs w:val="0"/>
          <w:kern w:val="0"/>
          <w:sz w:val="32"/>
          <w:szCs w:val="32"/>
          <w:lang w:val="en-US" w:eastAsia="zh-CN"/>
        </w:rPr>
        <w:t>100</w:t>
      </w:r>
      <w:r>
        <w:rPr>
          <w:rFonts w:hint="eastAsia" w:ascii="仿宋_GB2312" w:hAnsi="仿宋_GB2312" w:eastAsia="仿宋_GB2312" w:cs="仿宋_GB2312"/>
          <w:b w:val="0"/>
          <w:bCs w:val="0"/>
          <w:kern w:val="0"/>
          <w:sz w:val="32"/>
          <w:szCs w:val="32"/>
          <w:lang w:eastAsia="zh-CN"/>
        </w:rPr>
        <w:t>%。决算数与年初预算数的无差异。</w:t>
      </w:r>
    </w:p>
    <w:p w14:paraId="57EC6815">
      <w:pPr>
        <w:pStyle w:val="32"/>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二</w:t>
      </w:r>
      <w:r>
        <w:rPr>
          <w:rFonts w:ascii="楷体" w:hAnsi="楷体" w:eastAsia="楷体" w:cs="楷体"/>
          <w:b/>
          <w:bCs/>
          <w:kern w:val="0"/>
          <w:sz w:val="32"/>
          <w:szCs w:val="32"/>
        </w:rPr>
        <w:t>）社会保障和就业支出（类）</w:t>
      </w:r>
    </w:p>
    <w:p w14:paraId="3A857C7D">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社会保障和就业支出（类）决算数为</w:t>
      </w:r>
      <w:r>
        <w:rPr>
          <w:rFonts w:eastAsia="Times New Roman"/>
          <w:kern w:val="0"/>
          <w:sz w:val="32"/>
          <w:szCs w:val="32"/>
          <w:u w:val="none"/>
          <w:lang w:eastAsia="en-US"/>
        </w:rPr>
        <w:t xml:space="preserve"> 42.67</w:t>
      </w:r>
      <w:r>
        <w:rPr>
          <w:rFonts w:ascii="FangSong_GB2312" w:hAnsi="FangSong_GB2312" w:eastAsia="FangSong_GB2312" w:cs="FangSong_GB2312"/>
          <w:kern w:val="0"/>
          <w:sz w:val="32"/>
          <w:szCs w:val="32"/>
          <w:u w:val="none"/>
        </w:rPr>
        <w:t>万元，与年初预算相比减少</w:t>
      </w:r>
      <w:r>
        <w:rPr>
          <w:rFonts w:eastAsia="Times New Roman"/>
          <w:kern w:val="0"/>
          <w:sz w:val="32"/>
          <w:szCs w:val="32"/>
          <w:u w:val="none"/>
          <w:lang w:eastAsia="en-US"/>
        </w:rPr>
        <w:t>16.70</w:t>
      </w:r>
      <w:r>
        <w:rPr>
          <w:rFonts w:ascii="FangSong_GB2312" w:hAnsi="FangSong_GB2312" w:eastAsia="FangSong_GB2312" w:cs="FangSong_GB2312"/>
          <w:kern w:val="0"/>
          <w:sz w:val="32"/>
          <w:szCs w:val="32"/>
          <w:u w:val="none"/>
        </w:rPr>
        <w:t>万元。其中：</w:t>
      </w:r>
    </w:p>
    <w:p w14:paraId="26144FFC">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1</w:t>
      </w:r>
      <w:r>
        <w:rPr>
          <w:rFonts w:ascii="FangSong_GB2312" w:hAnsi="FangSong_GB2312" w:eastAsia="FangSong_GB2312" w:cs="FangSong_GB2312"/>
          <w:kern w:val="0"/>
          <w:sz w:val="32"/>
          <w:szCs w:val="32"/>
          <w:u w:val="none"/>
        </w:rPr>
        <w:t>．行政事业单位养老支出（款）行政单位离退休（项）。年初预算</w:t>
      </w:r>
      <w:r>
        <w:rPr>
          <w:rFonts w:hint="eastAsia"/>
          <w:kern w:val="0"/>
          <w:sz w:val="32"/>
          <w:szCs w:val="32"/>
          <w:u w:val="none"/>
          <w:lang w:val="en-US" w:eastAsia="zh-CN"/>
        </w:rPr>
        <w:t>3.77</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3.33</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88.3</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FangSong_GB2312" w:hAnsi="FangSong_GB2312" w:eastAsia="FangSong_GB2312" w:cs="FangSong_GB2312"/>
          <w:kern w:val="0"/>
          <w:sz w:val="32"/>
          <w:szCs w:val="32"/>
          <w:u w:val="none"/>
          <w:lang w:eastAsia="zh-CN"/>
        </w:rPr>
        <w:t>涉及退休人员去世</w:t>
      </w:r>
      <w:r>
        <w:rPr>
          <w:rFonts w:ascii="FangSong_GB2312" w:hAnsi="FangSong_GB2312" w:eastAsia="FangSong_GB2312" w:cs="FangSong_GB2312"/>
          <w:kern w:val="0"/>
          <w:sz w:val="32"/>
          <w:szCs w:val="32"/>
          <w:u w:val="none"/>
        </w:rPr>
        <w:t>。</w:t>
      </w:r>
    </w:p>
    <w:p w14:paraId="5B7938BC">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2</w:t>
      </w:r>
      <w:r>
        <w:rPr>
          <w:rFonts w:ascii="FangSong_GB2312" w:hAnsi="FangSong_GB2312" w:eastAsia="FangSong_GB2312" w:cs="FangSong_GB2312"/>
          <w:kern w:val="0"/>
          <w:sz w:val="32"/>
          <w:szCs w:val="32"/>
          <w:u w:val="none"/>
        </w:rPr>
        <w:t>．行政事业单位养老支出（款）事业单位离退休（项）。年初预算</w:t>
      </w:r>
      <w:r>
        <w:rPr>
          <w:rFonts w:hint="eastAsia"/>
          <w:kern w:val="0"/>
          <w:sz w:val="32"/>
          <w:szCs w:val="32"/>
          <w:u w:val="none"/>
          <w:lang w:val="en-US" w:eastAsia="zh-CN"/>
        </w:rPr>
        <w:t>59.37</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42.67</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71.9</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FangSong_GB2312" w:hAnsi="FangSong_GB2312" w:eastAsia="FangSong_GB2312" w:cs="FangSong_GB2312"/>
          <w:kern w:val="0"/>
          <w:sz w:val="32"/>
          <w:szCs w:val="32"/>
          <w:u w:val="none"/>
          <w:lang w:eastAsia="zh-CN"/>
        </w:rPr>
        <w:t>涉及退休人员去世</w:t>
      </w:r>
      <w:r>
        <w:rPr>
          <w:rFonts w:ascii="FangSong_GB2312" w:hAnsi="FangSong_GB2312" w:eastAsia="FangSong_GB2312" w:cs="FangSong_GB2312"/>
          <w:kern w:val="0"/>
          <w:sz w:val="32"/>
          <w:szCs w:val="32"/>
          <w:u w:val="none"/>
        </w:rPr>
        <w:t>。</w:t>
      </w:r>
    </w:p>
    <w:p w14:paraId="1DFA4967">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3</w:t>
      </w:r>
      <w:r>
        <w:rPr>
          <w:rFonts w:ascii="FangSong_GB2312" w:hAnsi="FangSong_GB2312" w:eastAsia="FangSong_GB2312" w:cs="FangSong_GB2312"/>
          <w:kern w:val="0"/>
          <w:sz w:val="32"/>
          <w:szCs w:val="32"/>
          <w:u w:val="none"/>
        </w:rPr>
        <w:t>．行政事业单位养老支出（款）机关事业单位基本养老保险缴费支出（项）。年初预算</w:t>
      </w:r>
      <w:r>
        <w:rPr>
          <w:rFonts w:hint="eastAsia"/>
          <w:kern w:val="0"/>
          <w:sz w:val="32"/>
          <w:szCs w:val="32"/>
          <w:u w:val="none"/>
          <w:lang w:val="en-US" w:eastAsia="zh-CN"/>
        </w:rPr>
        <w:t>37.07</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39.28</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106.1</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仿宋_GB2312" w:hAnsi="仿宋_GB2312" w:eastAsia="仿宋_GB2312" w:cs="仿宋_GB2312"/>
          <w:b w:val="0"/>
          <w:bCs w:val="0"/>
          <w:kern w:val="0"/>
          <w:sz w:val="32"/>
          <w:szCs w:val="32"/>
          <w:u w:val="none"/>
          <w:lang w:eastAsia="zh-CN"/>
        </w:rPr>
        <w:t>按照社保局核定的基数和缴费金额缴纳养老保险和职业年金</w:t>
      </w:r>
      <w:r>
        <w:rPr>
          <w:rFonts w:ascii="FangSong_GB2312" w:hAnsi="FangSong_GB2312" w:eastAsia="FangSong_GB2312" w:cs="FangSong_GB2312"/>
          <w:kern w:val="0"/>
          <w:sz w:val="32"/>
          <w:szCs w:val="32"/>
          <w:u w:val="none"/>
        </w:rPr>
        <w:t>。</w:t>
      </w:r>
    </w:p>
    <w:p w14:paraId="4FD6DF7C">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4</w:t>
      </w:r>
      <w:r>
        <w:rPr>
          <w:rFonts w:ascii="FangSong_GB2312" w:hAnsi="FangSong_GB2312" w:eastAsia="FangSong_GB2312" w:cs="FangSong_GB2312"/>
          <w:kern w:val="0"/>
          <w:sz w:val="32"/>
          <w:szCs w:val="32"/>
          <w:u w:val="none"/>
        </w:rPr>
        <w:t>．行政事业单位养老支出（款）机关事业单位职业年金缴费支出（项）。年初预算</w:t>
      </w:r>
      <w:r>
        <w:rPr>
          <w:rFonts w:hint="eastAsia"/>
          <w:kern w:val="0"/>
          <w:sz w:val="32"/>
          <w:szCs w:val="32"/>
          <w:u w:val="none"/>
          <w:lang w:val="en-US" w:eastAsia="zh-CN"/>
        </w:rPr>
        <w:t>18.53</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0.06</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0.3</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仿宋_GB2312" w:hAnsi="仿宋_GB2312" w:eastAsia="仿宋_GB2312" w:cs="仿宋_GB2312"/>
          <w:b w:val="0"/>
          <w:bCs w:val="0"/>
          <w:kern w:val="0"/>
          <w:sz w:val="32"/>
          <w:szCs w:val="32"/>
          <w:u w:val="none"/>
          <w:lang w:eastAsia="zh-CN"/>
        </w:rPr>
        <w:t>按照社保局核定的基数和缴费金额缴纳养老保险和职业年金</w:t>
      </w:r>
      <w:r>
        <w:rPr>
          <w:rFonts w:ascii="FangSong_GB2312" w:hAnsi="FangSong_GB2312" w:eastAsia="FangSong_GB2312" w:cs="FangSong_GB2312"/>
          <w:kern w:val="0"/>
          <w:sz w:val="32"/>
          <w:szCs w:val="32"/>
          <w:u w:val="none"/>
        </w:rPr>
        <w:t>。</w:t>
      </w:r>
    </w:p>
    <w:p w14:paraId="7F6AB8AA">
      <w:pPr>
        <w:pStyle w:val="32"/>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三</w:t>
      </w:r>
      <w:r>
        <w:rPr>
          <w:rFonts w:ascii="楷体" w:hAnsi="楷体" w:eastAsia="楷体" w:cs="楷体"/>
          <w:b/>
          <w:bCs/>
          <w:kern w:val="0"/>
          <w:sz w:val="32"/>
          <w:szCs w:val="32"/>
        </w:rPr>
        <w:t>）卫生健康支出（类）</w:t>
      </w:r>
    </w:p>
    <w:p w14:paraId="3E812140">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卫生健康支出（类）决算数为</w:t>
      </w:r>
      <w:r>
        <w:rPr>
          <w:rFonts w:eastAsia="Times New Roman"/>
          <w:kern w:val="0"/>
          <w:sz w:val="32"/>
          <w:szCs w:val="32"/>
          <w:u w:val="none"/>
          <w:lang w:eastAsia="en-US"/>
        </w:rPr>
        <w:t xml:space="preserve"> 23.15</w:t>
      </w:r>
      <w:r>
        <w:rPr>
          <w:rFonts w:ascii="FangSong_GB2312" w:hAnsi="FangSong_GB2312" w:eastAsia="FangSong_GB2312" w:cs="FangSong_GB2312"/>
          <w:kern w:val="0"/>
          <w:sz w:val="32"/>
          <w:szCs w:val="32"/>
          <w:u w:val="none"/>
        </w:rPr>
        <w:t>万元，与年初预算相比增加</w:t>
      </w:r>
      <w:r>
        <w:rPr>
          <w:rFonts w:eastAsia="Times New Roman"/>
          <w:kern w:val="0"/>
          <w:sz w:val="32"/>
          <w:szCs w:val="32"/>
          <w:u w:val="none"/>
          <w:lang w:eastAsia="en-US"/>
        </w:rPr>
        <w:t> 1.89</w:t>
      </w:r>
      <w:r>
        <w:rPr>
          <w:rFonts w:ascii="FangSong_GB2312" w:hAnsi="FangSong_GB2312" w:eastAsia="FangSong_GB2312" w:cs="FangSong_GB2312"/>
          <w:kern w:val="0"/>
          <w:sz w:val="32"/>
          <w:szCs w:val="32"/>
          <w:u w:val="none"/>
        </w:rPr>
        <w:t>万元。其中：</w:t>
      </w:r>
    </w:p>
    <w:p w14:paraId="1AFBD1C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Times New Roman" w:cs="Times New Roman"/>
          <w:kern w:val="0"/>
          <w:sz w:val="24"/>
          <w:u w:val="none"/>
        </w:rPr>
      </w:pPr>
      <w:r>
        <w:rPr>
          <w:rFonts w:eastAsia="Times New Roman"/>
          <w:kern w:val="0"/>
          <w:sz w:val="32"/>
          <w:szCs w:val="32"/>
          <w:u w:val="none"/>
          <w:lang w:eastAsia="en-US"/>
        </w:rPr>
        <w:t>1</w:t>
      </w:r>
      <w:r>
        <w:rPr>
          <w:rFonts w:ascii="FangSong_GB2312" w:hAnsi="FangSong_GB2312" w:eastAsia="FangSong_GB2312" w:cs="FangSong_GB2312"/>
          <w:kern w:val="0"/>
          <w:sz w:val="32"/>
          <w:szCs w:val="32"/>
          <w:u w:val="none"/>
        </w:rPr>
        <w:t>．行政事业单位医疗（款）行政</w:t>
      </w:r>
      <w:r>
        <w:rPr>
          <w:rFonts w:hint="eastAsia" w:ascii="FangSong_GB2312" w:hAnsi="FangSong_GB2312" w:eastAsia="FangSong_GB2312" w:cs="FangSong_GB2312"/>
          <w:kern w:val="0"/>
          <w:sz w:val="32"/>
          <w:szCs w:val="32"/>
          <w:u w:val="none"/>
          <w:lang w:eastAsia="zh-CN"/>
        </w:rPr>
        <w:t>事业</w:t>
      </w:r>
      <w:r>
        <w:rPr>
          <w:rFonts w:ascii="FangSong_GB2312" w:hAnsi="FangSong_GB2312" w:eastAsia="FangSong_GB2312" w:cs="FangSong_GB2312"/>
          <w:kern w:val="0"/>
          <w:sz w:val="32"/>
          <w:szCs w:val="32"/>
          <w:u w:val="none"/>
        </w:rPr>
        <w:t>单位医疗（项）。年初预算</w:t>
      </w:r>
      <w:r>
        <w:rPr>
          <w:rFonts w:hint="eastAsia"/>
          <w:kern w:val="0"/>
          <w:sz w:val="32"/>
          <w:szCs w:val="32"/>
          <w:u w:val="none"/>
          <w:lang w:val="en-US" w:eastAsia="zh-CN"/>
        </w:rPr>
        <w:t>21.27</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23.15</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108.8</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仿宋_GB2312" w:hAnsi="仿宋_GB2312" w:eastAsia="仿宋_GB2312" w:cs="仿宋_GB2312"/>
          <w:b w:val="0"/>
          <w:bCs w:val="0"/>
          <w:kern w:val="0"/>
          <w:sz w:val="32"/>
          <w:szCs w:val="32"/>
          <w:u w:val="none"/>
          <w:lang w:eastAsia="zh-CN"/>
        </w:rPr>
        <w:t>按照医保局核定的基数和缴费金额缴纳医疗保险。</w:t>
      </w:r>
    </w:p>
    <w:p w14:paraId="68F0D122">
      <w:pPr>
        <w:pStyle w:val="32"/>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四</w:t>
      </w:r>
      <w:r>
        <w:rPr>
          <w:rFonts w:ascii="楷体" w:hAnsi="楷体" w:eastAsia="楷体" w:cs="楷体"/>
          <w:b/>
          <w:bCs/>
          <w:kern w:val="0"/>
          <w:sz w:val="32"/>
          <w:szCs w:val="32"/>
        </w:rPr>
        <w:t>）住房保障支出（类）</w:t>
      </w:r>
    </w:p>
    <w:p w14:paraId="0A63837B">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住房保障支出（类）决算数为</w:t>
      </w:r>
      <w:r>
        <w:rPr>
          <w:rFonts w:eastAsia="Times New Roman"/>
          <w:kern w:val="0"/>
          <w:sz w:val="32"/>
          <w:szCs w:val="32"/>
          <w:u w:val="none"/>
          <w:lang w:eastAsia="en-US"/>
        </w:rPr>
        <w:t xml:space="preserve"> 41.00</w:t>
      </w:r>
      <w:r>
        <w:rPr>
          <w:rFonts w:ascii="FangSong_GB2312" w:hAnsi="FangSong_GB2312" w:eastAsia="FangSong_GB2312" w:cs="FangSong_GB2312"/>
          <w:kern w:val="0"/>
          <w:sz w:val="32"/>
          <w:szCs w:val="32"/>
          <w:u w:val="none"/>
        </w:rPr>
        <w:t>万元，与年初预算相比增加</w:t>
      </w:r>
      <w:r>
        <w:rPr>
          <w:rFonts w:eastAsia="Times New Roman"/>
          <w:kern w:val="0"/>
          <w:sz w:val="32"/>
          <w:szCs w:val="32"/>
          <w:u w:val="none"/>
          <w:lang w:eastAsia="en-US"/>
        </w:rPr>
        <w:t> 6.97</w:t>
      </w:r>
      <w:r>
        <w:rPr>
          <w:rFonts w:ascii="FangSong_GB2312" w:hAnsi="FangSong_GB2312" w:eastAsia="FangSong_GB2312" w:cs="FangSong_GB2312"/>
          <w:kern w:val="0"/>
          <w:sz w:val="32"/>
          <w:szCs w:val="32"/>
          <w:u w:val="none"/>
        </w:rPr>
        <w:t>万元。其中：</w:t>
      </w:r>
    </w:p>
    <w:p w14:paraId="16228EA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u w:val="none"/>
          <w:lang w:eastAsia="zh-CN"/>
        </w:rPr>
      </w:pPr>
      <w:r>
        <w:rPr>
          <w:rFonts w:eastAsia="Times New Roman"/>
          <w:kern w:val="0"/>
          <w:sz w:val="32"/>
          <w:szCs w:val="32"/>
          <w:u w:val="none"/>
          <w:lang w:eastAsia="en-US"/>
        </w:rPr>
        <w:t>1</w:t>
      </w:r>
      <w:r>
        <w:rPr>
          <w:rFonts w:ascii="FangSong_GB2312" w:hAnsi="FangSong_GB2312" w:eastAsia="FangSong_GB2312" w:cs="FangSong_GB2312"/>
          <w:kern w:val="0"/>
          <w:sz w:val="32"/>
          <w:szCs w:val="32"/>
          <w:u w:val="none"/>
        </w:rPr>
        <w:t>．住房改革支出（款）住房公积金（项）。年初预算</w:t>
      </w:r>
      <w:r>
        <w:rPr>
          <w:rFonts w:hint="eastAsia"/>
          <w:kern w:val="0"/>
          <w:sz w:val="32"/>
          <w:szCs w:val="32"/>
          <w:u w:val="none"/>
          <w:lang w:val="en-US" w:eastAsia="zh-CN"/>
        </w:rPr>
        <w:t>34.03</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41.00</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120.5</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仿宋_GB2312" w:hAnsi="仿宋_GB2312" w:eastAsia="仿宋_GB2312" w:cs="仿宋_GB2312"/>
          <w:b w:val="0"/>
          <w:bCs w:val="0"/>
          <w:kern w:val="0"/>
          <w:sz w:val="32"/>
          <w:szCs w:val="32"/>
          <w:u w:val="none"/>
          <w:lang w:eastAsia="zh-CN"/>
        </w:rPr>
        <w:t>按照公积金基数和缴费金额缴纳公积金。</w:t>
      </w:r>
    </w:p>
    <w:p w14:paraId="227D41E2">
      <w:pPr>
        <w:pStyle w:val="32"/>
        <w:widowControl/>
        <w:spacing w:before="240" w:after="240" w:line="600" w:lineRule="atLeast"/>
        <w:ind w:firstLine="643"/>
        <w:jc w:val="left"/>
        <w:rPr>
          <w:rFonts w:ascii="Times New Roman" w:hAnsi="Times New Roman" w:eastAsia="Times New Roman" w:cs="Times New Roman"/>
          <w:kern w:val="0"/>
          <w:sz w:val="24"/>
          <w:u w:val="none"/>
        </w:rPr>
      </w:pPr>
      <w:r>
        <w:rPr>
          <w:rFonts w:ascii="黑体" w:hAnsi="黑体" w:eastAsia="黑体" w:cs="黑体"/>
          <w:b/>
          <w:bCs/>
          <w:kern w:val="0"/>
          <w:sz w:val="32"/>
          <w:szCs w:val="32"/>
          <w:u w:val="none"/>
        </w:rPr>
        <w:t>六、一般公共预算财政拨款基本支出决算情况说明</w:t>
      </w:r>
    </w:p>
    <w:p w14:paraId="0EFCA9D9">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乌海市文化市场综合行政执法局</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年度一般公共预算财政拨款基本支出决算</w:t>
      </w:r>
      <w:r>
        <w:rPr>
          <w:rFonts w:eastAsia="Times New Roman"/>
          <w:kern w:val="0"/>
          <w:sz w:val="32"/>
          <w:szCs w:val="32"/>
          <w:u w:val="none"/>
          <w:lang w:eastAsia="en-US"/>
        </w:rPr>
        <w:t xml:space="preserve"> 474.31</w:t>
      </w:r>
      <w:r>
        <w:rPr>
          <w:rFonts w:ascii="FangSong_GB2312" w:hAnsi="FangSong_GB2312" w:eastAsia="FangSong_GB2312" w:cs="FangSong_GB2312"/>
          <w:kern w:val="0"/>
          <w:sz w:val="32"/>
          <w:szCs w:val="32"/>
          <w:u w:val="none"/>
        </w:rPr>
        <w:t>万元，其中：</w:t>
      </w:r>
    </w:p>
    <w:p w14:paraId="326B31A0">
      <w:pPr>
        <w:pStyle w:val="32"/>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u w:val="none"/>
        </w:rPr>
        <w:t>（一）人员经费</w:t>
      </w:r>
      <w:r>
        <w:rPr>
          <w:rFonts w:eastAsia="Times New Roman"/>
          <w:kern w:val="0"/>
          <w:sz w:val="32"/>
          <w:szCs w:val="32"/>
          <w:u w:val="none"/>
          <w:lang w:eastAsia="en-US"/>
        </w:rPr>
        <w:t xml:space="preserve"> 430.11</w:t>
      </w:r>
      <w:r>
        <w:rPr>
          <w:rFonts w:ascii="楷体" w:hAnsi="楷体" w:eastAsia="楷体" w:cs="楷体"/>
          <w:b/>
          <w:bCs/>
          <w:kern w:val="0"/>
          <w:sz w:val="32"/>
          <w:szCs w:val="32"/>
          <w:u w:val="none"/>
        </w:rPr>
        <w:t>万元。</w:t>
      </w:r>
      <w:r>
        <w:rPr>
          <w:rFonts w:ascii="FangSong_GB2312" w:hAnsi="FangSong_GB2312" w:eastAsia="FangSong_GB2312" w:cs="FangSong_GB2312"/>
          <w:kern w:val="0"/>
          <w:sz w:val="32"/>
          <w:szCs w:val="32"/>
          <w:u w:val="none"/>
        </w:rPr>
        <w:t>主要包括：基本工资</w:t>
      </w:r>
      <w:r>
        <w:rPr>
          <w:rFonts w:hint="eastAsia" w:ascii="FangSong_GB2312" w:hAnsi="FangSong_GB2312" w:eastAsia="FangSong_GB2312" w:cs="FangSong_GB2312"/>
          <w:kern w:val="0"/>
          <w:sz w:val="32"/>
          <w:szCs w:val="32"/>
          <w:u w:val="none"/>
        </w:rPr>
        <w:t>118.73</w:t>
      </w:r>
      <w:r>
        <w:rPr>
          <w:rFonts w:hint="eastAsia" w:ascii="FangSong_GB2312" w:hAnsi="FangSong_GB2312" w:eastAsia="FangSong_GB2312" w:cs="FangSong_GB2312"/>
          <w:kern w:val="0"/>
          <w:sz w:val="32"/>
          <w:szCs w:val="32"/>
          <w:u w:val="none"/>
          <w:lang w:eastAsia="zh-CN"/>
        </w:rPr>
        <w:t>万元</w:t>
      </w:r>
      <w:r>
        <w:rPr>
          <w:rFonts w:ascii="FangSong_GB2312" w:hAnsi="FangSong_GB2312" w:eastAsia="FangSong_GB2312" w:cs="FangSong_GB2312"/>
          <w:kern w:val="0"/>
          <w:sz w:val="32"/>
          <w:szCs w:val="32"/>
          <w:u w:val="none"/>
        </w:rPr>
        <w:t>、津贴补贴</w:t>
      </w:r>
      <w:r>
        <w:rPr>
          <w:rFonts w:hint="eastAsia" w:ascii="FangSong_GB2312" w:hAnsi="FangSong_GB2312" w:eastAsia="FangSong_GB2312" w:cs="FangSong_GB2312"/>
          <w:kern w:val="0"/>
          <w:sz w:val="32"/>
          <w:szCs w:val="32"/>
          <w:u w:val="none"/>
        </w:rPr>
        <w:t>137.32</w:t>
      </w:r>
      <w:r>
        <w:rPr>
          <w:rFonts w:hint="eastAsia" w:ascii="FangSong_GB2312" w:hAnsi="FangSong_GB2312" w:eastAsia="FangSong_GB2312" w:cs="FangSong_GB2312"/>
          <w:kern w:val="0"/>
          <w:sz w:val="32"/>
          <w:szCs w:val="32"/>
          <w:u w:val="none"/>
          <w:lang w:eastAsia="zh-CN"/>
        </w:rPr>
        <w:t>万元</w:t>
      </w:r>
      <w:r>
        <w:rPr>
          <w:rFonts w:ascii="FangSong_GB2312" w:hAnsi="FangSong_GB2312" w:eastAsia="FangSong_GB2312" w:cs="FangSong_GB2312"/>
          <w:kern w:val="0"/>
          <w:sz w:val="32"/>
          <w:szCs w:val="32"/>
          <w:u w:val="none"/>
        </w:rPr>
        <w:t>、奖金</w:t>
      </w:r>
      <w:r>
        <w:rPr>
          <w:rFonts w:hint="eastAsia" w:ascii="FangSong_GB2312" w:hAnsi="FangSong_GB2312" w:eastAsia="FangSong_GB2312" w:cs="FangSong_GB2312"/>
          <w:kern w:val="0"/>
          <w:sz w:val="32"/>
          <w:szCs w:val="32"/>
          <w:u w:val="none"/>
        </w:rPr>
        <w:t>33.03</w:t>
      </w:r>
      <w:r>
        <w:rPr>
          <w:rFonts w:hint="eastAsia" w:ascii="FangSong_GB2312" w:hAnsi="FangSong_GB2312" w:eastAsia="FangSong_GB2312" w:cs="FangSong_GB2312"/>
          <w:kern w:val="0"/>
          <w:sz w:val="32"/>
          <w:szCs w:val="32"/>
          <w:u w:val="none"/>
          <w:lang w:eastAsia="zh-CN"/>
        </w:rPr>
        <w:t>万元</w:t>
      </w:r>
      <w:r>
        <w:rPr>
          <w:rFonts w:ascii="FangSong_GB2312" w:hAnsi="FangSong_GB2312" w:eastAsia="FangSong_GB2312" w:cs="FangSong_GB2312"/>
          <w:kern w:val="0"/>
          <w:sz w:val="32"/>
          <w:szCs w:val="32"/>
          <w:u w:val="none"/>
        </w:rPr>
        <w:t>、绩效工资</w:t>
      </w:r>
      <w:r>
        <w:rPr>
          <w:rFonts w:hint="eastAsia" w:ascii="FangSong_GB2312" w:hAnsi="FangSong_GB2312" w:eastAsia="FangSong_GB2312" w:cs="FangSong_GB2312"/>
          <w:kern w:val="0"/>
          <w:sz w:val="32"/>
          <w:szCs w:val="32"/>
          <w:u w:val="none"/>
        </w:rPr>
        <w:t>14.18</w:t>
      </w:r>
      <w:r>
        <w:rPr>
          <w:rFonts w:hint="eastAsia" w:ascii="FangSong_GB2312" w:hAnsi="FangSong_GB2312" w:eastAsia="FangSong_GB2312" w:cs="FangSong_GB2312"/>
          <w:kern w:val="0"/>
          <w:sz w:val="32"/>
          <w:szCs w:val="32"/>
          <w:u w:val="none"/>
          <w:lang w:eastAsia="zh-CN"/>
        </w:rPr>
        <w:t>万元</w:t>
      </w:r>
      <w:r>
        <w:rPr>
          <w:rFonts w:ascii="FangSong_GB2312" w:hAnsi="FangSong_GB2312" w:eastAsia="FangSong_GB2312" w:cs="FangSong_GB2312"/>
          <w:kern w:val="0"/>
          <w:sz w:val="32"/>
          <w:szCs w:val="32"/>
          <w:u w:val="none"/>
        </w:rPr>
        <w:t>、机关事业单位</w:t>
      </w:r>
      <w:r>
        <w:rPr>
          <w:rFonts w:ascii="FangSong_GB2312" w:hAnsi="FangSong_GB2312" w:eastAsia="FangSong_GB2312" w:cs="FangSong_GB2312"/>
          <w:kern w:val="0"/>
          <w:sz w:val="32"/>
          <w:szCs w:val="32"/>
        </w:rPr>
        <w:t>基本养老保险缴费</w:t>
      </w:r>
      <w:r>
        <w:rPr>
          <w:rFonts w:hint="eastAsia" w:ascii="FangSong_GB2312" w:hAnsi="FangSong_GB2312" w:eastAsia="FangSong_GB2312" w:cs="FangSong_GB2312"/>
          <w:kern w:val="0"/>
          <w:sz w:val="32"/>
          <w:szCs w:val="32"/>
        </w:rPr>
        <w:t>39.28</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、职业年金缴费</w:t>
      </w:r>
      <w:r>
        <w:rPr>
          <w:rFonts w:hint="eastAsia" w:ascii="FangSong_GB2312" w:hAnsi="FangSong_GB2312" w:eastAsia="FangSong_GB2312" w:cs="FangSong_GB2312"/>
          <w:kern w:val="0"/>
          <w:sz w:val="32"/>
          <w:szCs w:val="32"/>
        </w:rPr>
        <w:t>0.06</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、职工基本医疗保险缴费</w:t>
      </w:r>
      <w:r>
        <w:rPr>
          <w:rFonts w:hint="eastAsia" w:ascii="FangSong_GB2312" w:hAnsi="FangSong_GB2312" w:eastAsia="FangSong_GB2312" w:cs="FangSong_GB2312"/>
          <w:kern w:val="0"/>
          <w:sz w:val="32"/>
          <w:szCs w:val="32"/>
        </w:rPr>
        <w:t>23.15</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其他社会保障缴费0.63</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住房公积金</w:t>
      </w:r>
      <w:r>
        <w:rPr>
          <w:rFonts w:hint="eastAsia" w:ascii="FangSong_GB2312" w:hAnsi="FangSong_GB2312" w:eastAsia="FangSong_GB2312" w:cs="FangSong_GB2312"/>
          <w:kern w:val="0"/>
          <w:sz w:val="32"/>
          <w:szCs w:val="32"/>
        </w:rPr>
        <w:t>41.00</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对个人和家庭的补助22.73</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退休费</w:t>
      </w:r>
      <w:r>
        <w:rPr>
          <w:rFonts w:hint="eastAsia" w:ascii="FangSong_GB2312" w:hAnsi="FangSong_GB2312" w:eastAsia="FangSong_GB2312" w:cs="FangSong_GB2312"/>
          <w:kern w:val="0"/>
          <w:sz w:val="32"/>
          <w:szCs w:val="32"/>
        </w:rPr>
        <w:t>3.33</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、抚恤金</w:t>
      </w:r>
      <w:r>
        <w:rPr>
          <w:rFonts w:hint="eastAsia" w:ascii="FangSong_GB2312" w:hAnsi="FangSong_GB2312" w:eastAsia="FangSong_GB2312" w:cs="FangSong_GB2312"/>
          <w:kern w:val="0"/>
          <w:sz w:val="32"/>
          <w:szCs w:val="32"/>
        </w:rPr>
        <w:t>19.40</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w:t>
      </w:r>
    </w:p>
    <w:p w14:paraId="3C0CC8F6">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none"/>
          <w:lang w:eastAsia="en-US"/>
        </w:rPr>
        <w:t xml:space="preserve"> 44.20</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rPr>
        <w:t>0.75</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、印刷费</w:t>
      </w:r>
      <w:r>
        <w:rPr>
          <w:rFonts w:hint="eastAsia" w:ascii="FangSong_GB2312" w:hAnsi="FangSong_GB2312" w:eastAsia="FangSong_GB2312" w:cs="FangSong_GB2312"/>
          <w:kern w:val="0"/>
          <w:sz w:val="32"/>
          <w:szCs w:val="32"/>
        </w:rPr>
        <w:t>1.00</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、邮电费</w:t>
      </w:r>
      <w:r>
        <w:rPr>
          <w:rFonts w:hint="eastAsia" w:ascii="FangSong_GB2312" w:hAnsi="FangSong_GB2312" w:eastAsia="FangSong_GB2312" w:cs="FangSong_GB2312"/>
          <w:kern w:val="0"/>
          <w:sz w:val="32"/>
          <w:szCs w:val="32"/>
        </w:rPr>
        <w:t>0.30</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rPr>
        <w:t>6.69</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、公务接待费</w:t>
      </w:r>
      <w:r>
        <w:rPr>
          <w:rFonts w:hint="eastAsia" w:ascii="FangSong_GB2312" w:hAnsi="FangSong_GB2312" w:eastAsia="FangSong_GB2312" w:cs="FangSong_GB2312"/>
          <w:kern w:val="0"/>
          <w:sz w:val="32"/>
          <w:szCs w:val="32"/>
        </w:rPr>
        <w:t>0.05</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、劳务费</w:t>
      </w:r>
      <w:r>
        <w:rPr>
          <w:rFonts w:hint="eastAsia" w:ascii="FangSong_GB2312" w:hAnsi="FangSong_GB2312" w:eastAsia="FangSong_GB2312" w:cs="FangSong_GB2312"/>
          <w:kern w:val="0"/>
          <w:sz w:val="32"/>
          <w:szCs w:val="32"/>
        </w:rPr>
        <w:t>0.50</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、工会经费</w:t>
      </w:r>
      <w:r>
        <w:rPr>
          <w:rFonts w:hint="eastAsia" w:ascii="FangSong_GB2312" w:hAnsi="FangSong_GB2312" w:eastAsia="FangSong_GB2312" w:cs="FangSong_GB2312"/>
          <w:kern w:val="0"/>
          <w:sz w:val="32"/>
          <w:szCs w:val="32"/>
        </w:rPr>
        <w:t>5.35</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、福利费</w:t>
      </w:r>
      <w:r>
        <w:rPr>
          <w:rFonts w:hint="eastAsia" w:ascii="FangSong_GB2312" w:hAnsi="FangSong_GB2312" w:eastAsia="FangSong_GB2312" w:cs="FangSong_GB2312"/>
          <w:kern w:val="0"/>
          <w:sz w:val="32"/>
          <w:szCs w:val="32"/>
        </w:rPr>
        <w:t>7.11</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、其他交通费用</w:t>
      </w:r>
      <w:r>
        <w:rPr>
          <w:rFonts w:hint="eastAsia" w:ascii="FangSong_GB2312" w:hAnsi="FangSong_GB2312" w:eastAsia="FangSong_GB2312" w:cs="FangSong_GB2312"/>
          <w:kern w:val="0"/>
          <w:sz w:val="32"/>
          <w:szCs w:val="32"/>
        </w:rPr>
        <w:t>16.74</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、其他商品和服务支出</w:t>
      </w:r>
      <w:r>
        <w:rPr>
          <w:rFonts w:hint="eastAsia" w:ascii="FangSong_GB2312" w:hAnsi="FangSong_GB2312" w:eastAsia="FangSong_GB2312" w:cs="FangSong_GB2312"/>
          <w:kern w:val="0"/>
          <w:sz w:val="32"/>
          <w:szCs w:val="32"/>
        </w:rPr>
        <w:t>0.76</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、办公设备购置</w:t>
      </w:r>
      <w:r>
        <w:rPr>
          <w:rFonts w:hint="eastAsia" w:ascii="FangSong_GB2312" w:hAnsi="FangSong_GB2312" w:eastAsia="FangSong_GB2312" w:cs="FangSong_GB2312"/>
          <w:kern w:val="0"/>
          <w:sz w:val="32"/>
          <w:szCs w:val="32"/>
        </w:rPr>
        <w:t>3.34</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、信息网络及软件购置更新</w:t>
      </w:r>
      <w:r>
        <w:rPr>
          <w:rFonts w:hint="eastAsia" w:ascii="FangSong_GB2312" w:hAnsi="FangSong_GB2312" w:eastAsia="FangSong_GB2312" w:cs="FangSong_GB2312"/>
          <w:kern w:val="0"/>
          <w:sz w:val="32"/>
          <w:szCs w:val="32"/>
        </w:rPr>
        <w:t>1.61</w:t>
      </w:r>
      <w:r>
        <w:rPr>
          <w:rFonts w:ascii="FangSong_GB2312" w:hAnsi="FangSong_GB2312" w:eastAsia="FangSong_GB2312" w:cs="FangSong_GB2312"/>
          <w:kern w:val="0"/>
          <w:sz w:val="32"/>
          <w:szCs w:val="32"/>
        </w:rPr>
        <w:t>。</w:t>
      </w:r>
    </w:p>
    <w:p w14:paraId="7D879B73">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02442749">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乌海市文化市场综合行政执法局</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none"/>
          <w:lang w:eastAsia="en-US"/>
        </w:rPr>
        <w:t xml:space="preserve"> 19.86</w:t>
      </w:r>
      <w:r>
        <w:rPr>
          <w:rFonts w:ascii="FangSong_GB2312" w:hAnsi="FangSong_GB2312" w:eastAsia="FangSong_GB2312" w:cs="FangSong_GB2312"/>
          <w:kern w:val="0"/>
          <w:sz w:val="32"/>
          <w:szCs w:val="32"/>
        </w:rPr>
        <w:t>万元，其中：</w:t>
      </w:r>
    </w:p>
    <w:p w14:paraId="3ECBB27B">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b/>
          <w:bCs/>
          <w:kern w:val="0"/>
          <w:sz w:val="32"/>
          <w:szCs w:val="32"/>
          <w:u w:val="none"/>
        </w:rPr>
        <w:t>（一）工资福利支出</w:t>
      </w:r>
      <w:r>
        <w:rPr>
          <w:rFonts w:eastAsia="Times New Roman"/>
          <w:kern w:val="0"/>
          <w:sz w:val="32"/>
          <w:szCs w:val="32"/>
          <w:u w:val="none"/>
          <w:lang w:eastAsia="en-US"/>
        </w:rPr>
        <w:t xml:space="preserve"> 0</w:t>
      </w:r>
      <w:r>
        <w:rPr>
          <w:rFonts w:ascii="FangSong_GB2312" w:hAnsi="FangSong_GB2312" w:eastAsia="FangSong_GB2312" w:cs="FangSong_GB2312"/>
          <w:b/>
          <w:bCs/>
          <w:kern w:val="0"/>
          <w:sz w:val="32"/>
          <w:szCs w:val="32"/>
          <w:u w:val="none"/>
        </w:rPr>
        <w:t>万元。</w:t>
      </w:r>
    </w:p>
    <w:p w14:paraId="5BFAB506">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u w:val="none"/>
        </w:rPr>
        <w:t>（二）商品和服务支出</w:t>
      </w:r>
      <w:r>
        <w:rPr>
          <w:rFonts w:eastAsia="Times New Roman"/>
          <w:kern w:val="0"/>
          <w:sz w:val="32"/>
          <w:szCs w:val="32"/>
          <w:u w:val="none"/>
          <w:lang w:eastAsia="en-US"/>
        </w:rPr>
        <w:t xml:space="preserve"> 12.89</w:t>
      </w:r>
      <w:r>
        <w:rPr>
          <w:rFonts w:ascii="FangSong_GB2312" w:hAnsi="FangSong_GB2312" w:eastAsia="FangSong_GB2312" w:cs="FangSong_GB2312"/>
          <w:b/>
          <w:bCs/>
          <w:kern w:val="0"/>
          <w:sz w:val="32"/>
          <w:szCs w:val="32"/>
          <w:u w:val="none"/>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rPr>
        <w:t>2.57</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、印刷费</w:t>
      </w:r>
      <w:r>
        <w:rPr>
          <w:rFonts w:hint="eastAsia" w:ascii="FangSong_GB2312" w:hAnsi="FangSong_GB2312" w:eastAsia="FangSong_GB2312" w:cs="FangSong_GB2312"/>
          <w:kern w:val="0"/>
          <w:sz w:val="32"/>
          <w:szCs w:val="32"/>
        </w:rPr>
        <w:t>0.97</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、水费</w:t>
      </w:r>
      <w:r>
        <w:rPr>
          <w:rFonts w:hint="eastAsia" w:ascii="FangSong_GB2312" w:hAnsi="FangSong_GB2312" w:eastAsia="FangSong_GB2312" w:cs="FangSong_GB2312"/>
          <w:kern w:val="0"/>
          <w:sz w:val="32"/>
          <w:szCs w:val="32"/>
        </w:rPr>
        <w:t>0.15</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、电费</w:t>
      </w:r>
      <w:r>
        <w:rPr>
          <w:rFonts w:hint="eastAsia" w:ascii="FangSong_GB2312" w:hAnsi="FangSong_GB2312" w:eastAsia="FangSong_GB2312" w:cs="FangSong_GB2312"/>
          <w:kern w:val="0"/>
          <w:sz w:val="32"/>
          <w:szCs w:val="32"/>
        </w:rPr>
        <w:t>1.66</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、维修（护）费</w:t>
      </w:r>
      <w:r>
        <w:rPr>
          <w:rFonts w:hint="eastAsia" w:ascii="FangSong_GB2312" w:hAnsi="FangSong_GB2312" w:eastAsia="FangSong_GB2312" w:cs="FangSong_GB2312"/>
          <w:kern w:val="0"/>
          <w:sz w:val="32"/>
          <w:szCs w:val="32"/>
        </w:rPr>
        <w:t>5.70</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rPr>
        <w:t>0.53</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w:t>
      </w:r>
    </w:p>
    <w:p w14:paraId="0DBE41E1">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（三）资本性支出</w:t>
      </w:r>
      <w:r>
        <w:rPr>
          <w:rFonts w:eastAsia="Times New Roman"/>
          <w:kern w:val="0"/>
          <w:sz w:val="32"/>
          <w:szCs w:val="32"/>
          <w:u w:val="none"/>
          <w:lang w:eastAsia="en-US"/>
        </w:rPr>
        <w:t xml:space="preserve"> 6.97</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主要包括：办公设备购置</w:t>
      </w:r>
      <w:r>
        <w:rPr>
          <w:rFonts w:hint="eastAsia" w:ascii="FangSong_GB2312" w:hAnsi="FangSong_GB2312" w:eastAsia="FangSong_GB2312" w:cs="FangSong_GB2312"/>
          <w:kern w:val="0"/>
          <w:sz w:val="32"/>
          <w:szCs w:val="32"/>
        </w:rPr>
        <w:t>6.97</w:t>
      </w:r>
      <w:r>
        <w:rPr>
          <w:rFonts w:hint="eastAsia" w:ascii="FangSong_GB2312" w:hAnsi="FangSong_GB2312" w:eastAsia="FangSong_GB2312" w:cs="FangSong_GB2312"/>
          <w:kern w:val="0"/>
          <w:sz w:val="32"/>
          <w:szCs w:val="32"/>
          <w:lang w:eastAsia="zh-CN"/>
        </w:rPr>
        <w:t>万元</w:t>
      </w:r>
      <w:r>
        <w:rPr>
          <w:rFonts w:ascii="FangSong_GB2312" w:hAnsi="FangSong_GB2312" w:eastAsia="FangSong_GB2312" w:cs="FangSong_GB2312"/>
          <w:kern w:val="0"/>
          <w:sz w:val="32"/>
          <w:szCs w:val="32"/>
        </w:rPr>
        <w:t>。</w:t>
      </w:r>
    </w:p>
    <w:p w14:paraId="447D9849">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028ED7E5">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0C317A39">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乌海市文化市场综合行政执法局</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年度财政拨款“三公”经费全年预算</w:t>
      </w:r>
      <w:r>
        <w:rPr>
          <w:rFonts w:eastAsia="Times New Roman"/>
          <w:kern w:val="0"/>
          <w:sz w:val="32"/>
          <w:szCs w:val="32"/>
          <w:u w:val="none"/>
          <w:lang w:eastAsia="en-US"/>
        </w:rPr>
        <w:t xml:space="preserve"> 0.50</w:t>
      </w:r>
      <w:r>
        <w:rPr>
          <w:rFonts w:ascii="FangSong_GB2312" w:hAnsi="FangSong_GB2312" w:eastAsia="FangSong_GB2312" w:cs="FangSong_GB2312"/>
          <w:kern w:val="0"/>
          <w:sz w:val="32"/>
          <w:szCs w:val="32"/>
          <w:u w:val="none"/>
        </w:rPr>
        <w:t>万元，支出决算</w:t>
      </w:r>
      <w:r>
        <w:rPr>
          <w:rFonts w:eastAsia="Times New Roman"/>
          <w:kern w:val="0"/>
          <w:sz w:val="32"/>
          <w:szCs w:val="32"/>
          <w:u w:val="none"/>
          <w:lang w:eastAsia="en-US"/>
        </w:rPr>
        <w:t xml:space="preserve"> 0.05</w:t>
      </w:r>
      <w:r>
        <w:rPr>
          <w:rFonts w:ascii="FangSong_GB2312" w:hAnsi="FangSong_GB2312" w:eastAsia="FangSong_GB2312" w:cs="FangSong_GB2312"/>
          <w:kern w:val="0"/>
          <w:sz w:val="32"/>
          <w:szCs w:val="32"/>
          <w:u w:val="none"/>
        </w:rPr>
        <w:t>万元，完成预算的</w:t>
      </w:r>
      <w:r>
        <w:rPr>
          <w:rFonts w:eastAsia="Times New Roman"/>
          <w:kern w:val="0"/>
          <w:sz w:val="32"/>
          <w:szCs w:val="32"/>
          <w:u w:val="none"/>
          <w:lang w:eastAsia="en-US"/>
        </w:rPr>
        <w:t xml:space="preserve"> 9.52</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。其中：因公出国（境）费全年预算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万元，支出决算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万元，完成预算的</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；公务用车购置及运行维护费全年预算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万元，支出决算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万元，完成预算的</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；公务接待费全年预算</w:t>
      </w:r>
      <w:r>
        <w:rPr>
          <w:rFonts w:eastAsia="Times New Roman"/>
          <w:kern w:val="0"/>
          <w:sz w:val="32"/>
          <w:szCs w:val="32"/>
          <w:u w:val="none"/>
          <w:lang w:eastAsia="en-US"/>
        </w:rPr>
        <w:t xml:space="preserve"> 0.50</w:t>
      </w:r>
      <w:r>
        <w:rPr>
          <w:rFonts w:ascii="FangSong_GB2312" w:hAnsi="FangSong_GB2312" w:eastAsia="FangSong_GB2312" w:cs="FangSong_GB2312"/>
          <w:kern w:val="0"/>
          <w:sz w:val="32"/>
          <w:szCs w:val="32"/>
          <w:u w:val="none"/>
        </w:rPr>
        <w:t>万元，支出决算</w:t>
      </w:r>
      <w:r>
        <w:rPr>
          <w:rFonts w:eastAsia="Times New Roman"/>
          <w:kern w:val="0"/>
          <w:sz w:val="32"/>
          <w:szCs w:val="32"/>
          <w:u w:val="none"/>
          <w:lang w:eastAsia="en-US"/>
        </w:rPr>
        <w:t xml:space="preserve"> 0.05</w:t>
      </w:r>
      <w:r>
        <w:rPr>
          <w:rFonts w:ascii="FangSong_GB2312" w:hAnsi="FangSong_GB2312" w:eastAsia="FangSong_GB2312" w:cs="FangSong_GB2312"/>
          <w:kern w:val="0"/>
          <w:sz w:val="32"/>
          <w:szCs w:val="32"/>
          <w:u w:val="none"/>
        </w:rPr>
        <w:t>万元，完成预算的</w:t>
      </w:r>
      <w:r>
        <w:rPr>
          <w:rFonts w:eastAsia="Times New Roman"/>
          <w:kern w:val="0"/>
          <w:sz w:val="32"/>
          <w:szCs w:val="32"/>
          <w:u w:val="none"/>
          <w:lang w:eastAsia="en-US"/>
        </w:rPr>
        <w:t xml:space="preserve"> 9.52</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年度一般公共预算财政拨款“三公”经费全年预算</w:t>
      </w:r>
      <w:r>
        <w:rPr>
          <w:rFonts w:eastAsia="Times New Roman"/>
          <w:kern w:val="0"/>
          <w:sz w:val="32"/>
          <w:szCs w:val="32"/>
          <w:u w:val="none"/>
          <w:lang w:eastAsia="en-US"/>
        </w:rPr>
        <w:t xml:space="preserve"> 0.50</w:t>
      </w:r>
      <w:r>
        <w:rPr>
          <w:rFonts w:ascii="FangSong_GB2312" w:hAnsi="FangSong_GB2312" w:eastAsia="FangSong_GB2312" w:cs="FangSong_GB2312"/>
          <w:kern w:val="0"/>
          <w:sz w:val="32"/>
          <w:szCs w:val="32"/>
          <w:u w:val="none"/>
        </w:rPr>
        <w:t>万元，支出决算</w:t>
      </w:r>
      <w:r>
        <w:rPr>
          <w:rFonts w:eastAsia="Times New Roman"/>
          <w:kern w:val="0"/>
          <w:sz w:val="32"/>
          <w:szCs w:val="32"/>
          <w:u w:val="none"/>
          <w:lang w:eastAsia="en-US"/>
        </w:rPr>
        <w:t xml:space="preserve"> 0.05</w:t>
      </w:r>
      <w:r>
        <w:rPr>
          <w:rFonts w:ascii="FangSong_GB2312" w:hAnsi="FangSong_GB2312" w:eastAsia="FangSong_GB2312" w:cs="FangSong_GB2312"/>
          <w:kern w:val="0"/>
          <w:sz w:val="32"/>
          <w:szCs w:val="32"/>
          <w:u w:val="none"/>
        </w:rPr>
        <w:t>万元，与预算差异原因</w:t>
      </w:r>
      <w:r>
        <w:rPr>
          <w:rFonts w:hint="eastAsia" w:ascii="FangSong_GB2312" w:hAnsi="FangSong_GB2312" w:eastAsia="FangSong_GB2312" w:cs="FangSong_GB2312"/>
          <w:kern w:val="0"/>
          <w:sz w:val="32"/>
          <w:szCs w:val="32"/>
          <w:u w:val="none"/>
          <w:lang w:eastAsia="zh-CN"/>
        </w:rPr>
        <w:t>：</w:t>
      </w:r>
      <w:r>
        <w:rPr>
          <w:rFonts w:hint="eastAsia" w:ascii="仿宋_GB2312" w:hAnsi="仿宋_GB2312" w:eastAsia="仿宋_GB2312" w:cs="仿宋_GB2312"/>
          <w:b w:val="0"/>
          <w:bCs w:val="0"/>
          <w:kern w:val="0"/>
          <w:sz w:val="32"/>
          <w:szCs w:val="32"/>
          <w:u w:val="none"/>
          <w:lang w:val="en-US" w:eastAsia="zh-CN"/>
        </w:rPr>
        <w:t>按照工作进展安排，2025年公务接待一次</w:t>
      </w:r>
      <w:r>
        <w:rPr>
          <w:rFonts w:ascii="FangSong_GB2312" w:hAnsi="FangSong_GB2312" w:eastAsia="FangSong_GB2312" w:cs="FangSong_GB2312"/>
          <w:kern w:val="0"/>
          <w:sz w:val="32"/>
          <w:szCs w:val="32"/>
          <w:u w:val="none"/>
        </w:rPr>
        <w:t>。</w:t>
      </w:r>
    </w:p>
    <w:p w14:paraId="1FC00A6A">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61F4061D">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乌海市文化市场综合行政执法局</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年度财政拨款“三公”经费支出</w:t>
      </w:r>
      <w:r>
        <w:rPr>
          <w:rFonts w:eastAsia="Times New Roman"/>
          <w:kern w:val="0"/>
          <w:sz w:val="32"/>
          <w:szCs w:val="32"/>
          <w:u w:val="none"/>
          <w:lang w:eastAsia="en-US"/>
        </w:rPr>
        <w:t xml:space="preserve"> 0.05</w:t>
      </w:r>
      <w:r>
        <w:rPr>
          <w:rFonts w:ascii="FangSong_GB2312" w:hAnsi="FangSong_GB2312" w:eastAsia="FangSong_GB2312" w:cs="FangSong_GB2312"/>
          <w:kern w:val="0"/>
          <w:sz w:val="32"/>
          <w:szCs w:val="32"/>
          <w:u w:val="none"/>
        </w:rPr>
        <w:t>万元。因公出国（境）费支出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；公务用车购置及运行维护费支出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；公务接待费支出</w:t>
      </w:r>
      <w:r>
        <w:rPr>
          <w:rFonts w:eastAsia="Times New Roman"/>
          <w:kern w:val="0"/>
          <w:sz w:val="32"/>
          <w:szCs w:val="32"/>
          <w:u w:val="none"/>
          <w:lang w:eastAsia="en-US"/>
        </w:rPr>
        <w:t xml:space="preserve"> 0.05</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100.00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。其中：</w:t>
      </w:r>
    </w:p>
    <w:p w14:paraId="0FA52FD0">
      <w:pPr>
        <w:pStyle w:val="32"/>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u w:val="none"/>
          <w:lang w:eastAsia="en-US"/>
        </w:rPr>
        <w:t>1</w:t>
      </w:r>
      <w:r>
        <w:rPr>
          <w:rFonts w:ascii="FangSong_GB2312" w:hAnsi="FangSong_GB2312" w:eastAsia="FangSong_GB2312" w:cs="FangSong_GB2312"/>
          <w:b/>
          <w:bCs/>
          <w:kern w:val="0"/>
          <w:sz w:val="32"/>
          <w:szCs w:val="32"/>
          <w:u w:val="none"/>
          <w:lang w:eastAsia="en-US"/>
        </w:rPr>
        <w:t>.</w:t>
      </w:r>
      <w:r>
        <w:rPr>
          <w:rFonts w:ascii="FangSong_GB2312" w:hAnsi="FangSong_GB2312" w:eastAsia="FangSong_GB2312" w:cs="FangSong_GB2312"/>
          <w:b/>
          <w:bCs/>
          <w:kern w:val="0"/>
          <w:sz w:val="32"/>
          <w:szCs w:val="32"/>
          <w:u w:val="none"/>
        </w:rPr>
        <w:t>因公出国（境）费支出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万元，全年出国（境）团组</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个，累计</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人次。与上年决算相比，增加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仿宋_GB2312" w:hAnsi="仿宋_GB2312" w:eastAsia="仿宋_GB2312" w:cs="仿宋_GB2312"/>
          <w:b w:val="0"/>
          <w:bCs w:val="0"/>
          <w:kern w:val="0"/>
          <w:sz w:val="32"/>
          <w:szCs w:val="32"/>
          <w:u w:val="none"/>
          <w:lang w:val="en-US" w:eastAsia="zh-CN"/>
        </w:rPr>
        <w:t>与上年相比无变动</w:t>
      </w:r>
      <w:r>
        <w:rPr>
          <w:rFonts w:ascii="FangSong_GB2312" w:hAnsi="FangSong_GB2312" w:eastAsia="FangSong_GB2312" w:cs="FangSong_GB2312"/>
          <w:kern w:val="0"/>
          <w:sz w:val="32"/>
          <w:szCs w:val="32"/>
          <w:u w:val="none"/>
        </w:rPr>
        <w:t>。</w:t>
      </w:r>
    </w:p>
    <w:p w14:paraId="092261C5">
      <w:pPr>
        <w:pStyle w:val="32"/>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w:t>
      </w:r>
      <w:r>
        <w:rPr>
          <w:rFonts w:ascii="FangSong_GB2312" w:hAnsi="FangSong_GB2312" w:eastAsia="FangSong_GB2312" w:cs="FangSong_GB2312"/>
          <w:b/>
          <w:bCs/>
          <w:kern w:val="0"/>
          <w:sz w:val="32"/>
          <w:szCs w:val="32"/>
          <w:u w:val="none"/>
        </w:rPr>
        <w:t>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w:t>
      </w:r>
      <w:r>
        <w:rPr>
          <w:rFonts w:ascii="FangSong_GB2312" w:hAnsi="FangSong_GB2312" w:eastAsia="FangSong_GB2312" w:cs="FangSong_GB2312"/>
          <w:kern w:val="0"/>
          <w:sz w:val="32"/>
          <w:szCs w:val="32"/>
        </w:rPr>
        <w:t>其中：</w:t>
      </w:r>
    </w:p>
    <w:p w14:paraId="0BB7B5A1">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b/>
          <w:bCs/>
          <w:kern w:val="0"/>
          <w:sz w:val="32"/>
          <w:szCs w:val="32"/>
          <w:u w:val="none"/>
        </w:rPr>
        <w:t>（</w:t>
      </w:r>
      <w:r>
        <w:rPr>
          <w:rFonts w:eastAsia="Times New Roman"/>
          <w:b/>
          <w:bCs/>
          <w:kern w:val="0"/>
          <w:sz w:val="32"/>
          <w:szCs w:val="32"/>
          <w:u w:val="none"/>
          <w:lang w:eastAsia="en-US"/>
        </w:rPr>
        <w:t>1</w:t>
      </w:r>
      <w:r>
        <w:rPr>
          <w:rFonts w:ascii="FangSong_GB2312" w:hAnsi="FangSong_GB2312" w:eastAsia="FangSong_GB2312" w:cs="FangSong_GB2312"/>
          <w:b/>
          <w:bCs/>
          <w:kern w:val="0"/>
          <w:sz w:val="32"/>
          <w:szCs w:val="32"/>
          <w:u w:val="none"/>
        </w:rPr>
        <w:t>）公务用车购置支出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万元。本年度使用财政拨款购置公务用车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辆，开支内容：</w:t>
      </w:r>
      <w:r>
        <w:rPr>
          <w:rFonts w:hint="eastAsia" w:ascii="FangSong_GB2312" w:hAnsi="FangSong_GB2312" w:eastAsia="FangSong_GB2312" w:cs="FangSong_GB2312"/>
          <w:kern w:val="0"/>
          <w:sz w:val="32"/>
          <w:szCs w:val="32"/>
          <w:u w:val="none"/>
          <w:lang w:eastAsia="zh-CN"/>
        </w:rPr>
        <w:t>无</w:t>
      </w:r>
      <w:r>
        <w:rPr>
          <w:rFonts w:ascii="FangSong_GB2312" w:hAnsi="FangSong_GB2312" w:eastAsia="FangSong_GB2312" w:cs="FangSong_GB2312"/>
          <w:kern w:val="0"/>
          <w:sz w:val="32"/>
          <w:szCs w:val="32"/>
          <w:u w:val="none"/>
        </w:rPr>
        <w:t>。与上年决算相比，增加</w:t>
      </w:r>
      <w:r>
        <w:rPr>
          <w:rFonts w:eastAsia="Times New Roman"/>
          <w:kern w:val="0"/>
          <w:sz w:val="32"/>
          <w:szCs w:val="32"/>
          <w:u w:val="none"/>
        </w:rPr>
        <w:t xml:space="preserve"> 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仿宋_GB2312" w:hAnsi="仿宋_GB2312" w:eastAsia="仿宋_GB2312" w:cs="仿宋_GB2312"/>
          <w:b w:val="0"/>
          <w:bCs w:val="0"/>
          <w:kern w:val="0"/>
          <w:sz w:val="32"/>
          <w:szCs w:val="32"/>
          <w:u w:val="none"/>
          <w:lang w:val="en-US" w:eastAsia="zh-CN"/>
        </w:rPr>
        <w:t>与上年相比无变动</w:t>
      </w:r>
      <w:r>
        <w:rPr>
          <w:rFonts w:ascii="FangSong_GB2312" w:hAnsi="FangSong_GB2312" w:eastAsia="FangSong_GB2312" w:cs="FangSong_GB2312"/>
          <w:kern w:val="0"/>
          <w:sz w:val="32"/>
          <w:szCs w:val="32"/>
          <w:u w:val="none"/>
        </w:rPr>
        <w:t>。</w:t>
      </w:r>
    </w:p>
    <w:p w14:paraId="0001E00B">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u w:val="none"/>
        </w:rPr>
        <w:t>（</w:t>
      </w:r>
      <w:r>
        <w:rPr>
          <w:rFonts w:eastAsia="Times New Roman"/>
          <w:b/>
          <w:bCs/>
          <w:kern w:val="0"/>
          <w:sz w:val="32"/>
          <w:szCs w:val="32"/>
          <w:u w:val="none"/>
          <w:lang w:eastAsia="en-US"/>
        </w:rPr>
        <w:t>2</w:t>
      </w:r>
      <w:r>
        <w:rPr>
          <w:rFonts w:ascii="FangSong_GB2312" w:hAnsi="FangSong_GB2312" w:eastAsia="FangSong_GB2312" w:cs="FangSong_GB2312"/>
          <w:b/>
          <w:bCs/>
          <w:kern w:val="0"/>
          <w:sz w:val="32"/>
          <w:szCs w:val="32"/>
          <w:u w:val="none"/>
        </w:rPr>
        <w:t>）公务用车运行维护费支出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万元。公务用车运行维护费主要用于按规定保留的公务用车的燃料费、</w:t>
      </w:r>
      <w:r>
        <w:rPr>
          <w:rFonts w:ascii="FangSong_GB2312" w:hAnsi="FangSong_GB2312" w:eastAsia="FangSong_GB2312" w:cs="FangSong_GB2312"/>
          <w:color w:val="000000"/>
          <w:kern w:val="0"/>
          <w:sz w:val="32"/>
          <w:szCs w:val="32"/>
          <w:u w:val="none"/>
        </w:rPr>
        <w:t>新能源汽车充电费、</w:t>
      </w:r>
      <w:r>
        <w:rPr>
          <w:rFonts w:ascii="FangSong_GB2312" w:hAnsi="FangSong_GB2312" w:eastAsia="FangSong_GB2312" w:cs="FangSong_GB2312"/>
          <w:kern w:val="0"/>
          <w:sz w:val="32"/>
          <w:szCs w:val="32"/>
          <w:u w:val="none"/>
        </w:rPr>
        <w:t>维修费、过桥过路费、保险费、安全奖励费用等支出。截至</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w:t>
      </w:r>
      <w:r>
        <w:rPr>
          <w:rFonts w:eastAsia="Times New Roman"/>
          <w:kern w:val="0"/>
          <w:sz w:val="32"/>
          <w:szCs w:val="32"/>
          <w:u w:val="none"/>
          <w:lang w:eastAsia="en-US"/>
        </w:rPr>
        <w:t>12</w:t>
      </w:r>
      <w:r>
        <w:rPr>
          <w:rFonts w:ascii="FangSong_GB2312" w:hAnsi="FangSong_GB2312" w:eastAsia="FangSong_GB2312" w:cs="FangSong_GB2312"/>
          <w:kern w:val="0"/>
          <w:sz w:val="32"/>
          <w:szCs w:val="32"/>
          <w:u w:val="none"/>
        </w:rPr>
        <w:t>月</w:t>
      </w:r>
      <w:r>
        <w:rPr>
          <w:rFonts w:eastAsia="Times New Roman"/>
          <w:kern w:val="0"/>
          <w:sz w:val="32"/>
          <w:szCs w:val="32"/>
          <w:u w:val="none"/>
          <w:lang w:eastAsia="en-US"/>
        </w:rPr>
        <w:t>31</w:t>
      </w:r>
      <w:r>
        <w:rPr>
          <w:rFonts w:ascii="FangSong_GB2312" w:hAnsi="FangSong_GB2312" w:eastAsia="FangSong_GB2312" w:cs="FangSong_GB2312"/>
          <w:kern w:val="0"/>
          <w:sz w:val="32"/>
          <w:szCs w:val="32"/>
          <w:u w:val="none"/>
        </w:rPr>
        <w:t>日，使用财政拨款开支的公务用车保有量为</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辆。与上年决算相比，增加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仿宋_GB2312" w:hAnsi="仿宋_GB2312" w:eastAsia="仿宋_GB2312" w:cs="仿宋_GB2312"/>
          <w:b w:val="0"/>
          <w:bCs w:val="0"/>
          <w:kern w:val="0"/>
          <w:sz w:val="32"/>
          <w:szCs w:val="32"/>
          <w:u w:val="none"/>
          <w:lang w:val="en-US" w:eastAsia="zh-CN"/>
        </w:rPr>
        <w:t>与上年相比无变动</w:t>
      </w:r>
      <w:r>
        <w:rPr>
          <w:rFonts w:ascii="FangSong_GB2312" w:hAnsi="FangSong_GB2312" w:eastAsia="FangSong_GB2312" w:cs="FangSong_GB2312"/>
          <w:kern w:val="0"/>
          <w:sz w:val="32"/>
          <w:szCs w:val="32"/>
          <w:u w:val="none"/>
        </w:rPr>
        <w:t>。</w:t>
      </w:r>
    </w:p>
    <w:p w14:paraId="73219C9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u w:val="none"/>
          <w:lang w:val="en-US" w:eastAsia="zh-CN"/>
        </w:rPr>
      </w:pPr>
      <w:r>
        <w:rPr>
          <w:rFonts w:eastAsia="Times New Roman"/>
          <w:b/>
          <w:bCs/>
          <w:kern w:val="0"/>
          <w:sz w:val="32"/>
          <w:szCs w:val="32"/>
          <w:u w:val="none"/>
          <w:lang w:eastAsia="en-US"/>
        </w:rPr>
        <w:t>3</w:t>
      </w:r>
      <w:r>
        <w:rPr>
          <w:rFonts w:ascii="FangSong_GB2312" w:hAnsi="FangSong_GB2312" w:eastAsia="FangSong_GB2312" w:cs="FangSong_GB2312"/>
          <w:b/>
          <w:bCs/>
          <w:kern w:val="0"/>
          <w:sz w:val="32"/>
          <w:szCs w:val="32"/>
          <w:u w:val="none"/>
          <w:lang w:eastAsia="en-US"/>
        </w:rPr>
        <w:t>.</w:t>
      </w:r>
      <w:r>
        <w:rPr>
          <w:rFonts w:ascii="FangSong_GB2312" w:hAnsi="FangSong_GB2312" w:eastAsia="FangSong_GB2312" w:cs="FangSong_GB2312"/>
          <w:b/>
          <w:bCs/>
          <w:kern w:val="0"/>
          <w:sz w:val="32"/>
          <w:szCs w:val="32"/>
          <w:u w:val="none"/>
        </w:rPr>
        <w:t>公务接待费支出</w:t>
      </w:r>
      <w:r>
        <w:rPr>
          <w:rFonts w:eastAsia="Times New Roman"/>
          <w:kern w:val="0"/>
          <w:sz w:val="32"/>
          <w:szCs w:val="32"/>
          <w:u w:val="none"/>
          <w:lang w:eastAsia="en-US"/>
        </w:rPr>
        <w:t xml:space="preserve"> 0.05</w:t>
      </w:r>
      <w:r>
        <w:rPr>
          <w:rFonts w:ascii="FangSong_GB2312" w:hAnsi="FangSong_GB2312" w:eastAsia="FangSong_GB2312" w:cs="FangSong_GB2312"/>
          <w:kern w:val="0"/>
          <w:sz w:val="32"/>
          <w:szCs w:val="32"/>
          <w:u w:val="none"/>
        </w:rPr>
        <w:t>万元。其中：国内公务接待支出</w:t>
      </w:r>
      <w:r>
        <w:rPr>
          <w:rFonts w:eastAsia="Times New Roman"/>
          <w:kern w:val="0"/>
          <w:sz w:val="32"/>
          <w:szCs w:val="32"/>
          <w:u w:val="none"/>
          <w:lang w:eastAsia="en-US"/>
        </w:rPr>
        <w:t xml:space="preserve"> 0.05</w:t>
      </w:r>
      <w:r>
        <w:rPr>
          <w:rFonts w:ascii="FangSong_GB2312" w:hAnsi="FangSong_GB2312" w:eastAsia="FangSong_GB2312" w:cs="FangSong_GB2312"/>
          <w:kern w:val="0"/>
          <w:sz w:val="32"/>
          <w:szCs w:val="32"/>
          <w:u w:val="none"/>
        </w:rPr>
        <w:t>万元，接待</w:t>
      </w:r>
      <w:r>
        <w:rPr>
          <w:rFonts w:eastAsia="Times New Roman"/>
          <w:kern w:val="0"/>
          <w:sz w:val="32"/>
          <w:szCs w:val="32"/>
          <w:u w:val="none"/>
          <w:lang w:eastAsia="en-US"/>
        </w:rPr>
        <w:t xml:space="preserve">1 </w:t>
      </w:r>
      <w:r>
        <w:rPr>
          <w:rFonts w:ascii="FangSong_GB2312" w:hAnsi="FangSong_GB2312" w:eastAsia="FangSong_GB2312" w:cs="FangSong_GB2312"/>
          <w:kern w:val="0"/>
          <w:sz w:val="32"/>
          <w:szCs w:val="32"/>
          <w:u w:val="none"/>
        </w:rPr>
        <w:t>批次，</w:t>
      </w:r>
      <w:r>
        <w:rPr>
          <w:rFonts w:eastAsia="Times New Roman"/>
          <w:kern w:val="0"/>
          <w:sz w:val="32"/>
          <w:szCs w:val="32"/>
          <w:u w:val="none"/>
          <w:lang w:eastAsia="en-US"/>
        </w:rPr>
        <w:t xml:space="preserve">4 </w:t>
      </w:r>
      <w:r>
        <w:rPr>
          <w:rFonts w:ascii="FangSong_GB2312" w:hAnsi="FangSong_GB2312" w:eastAsia="FangSong_GB2312" w:cs="FangSong_GB2312"/>
          <w:kern w:val="0"/>
          <w:sz w:val="32"/>
          <w:szCs w:val="32"/>
          <w:u w:val="none"/>
        </w:rPr>
        <w:t>人次，开支内容：</w:t>
      </w:r>
      <w:r>
        <w:rPr>
          <w:rFonts w:hint="eastAsia" w:ascii="仿宋_GB2312" w:hAnsi="仿宋_GB2312" w:eastAsia="仿宋_GB2312" w:cs="仿宋_GB2312"/>
          <w:b w:val="0"/>
          <w:bCs w:val="0"/>
          <w:kern w:val="0"/>
          <w:sz w:val="32"/>
          <w:szCs w:val="32"/>
          <w:u w:val="none"/>
          <w:lang w:val="en-US" w:eastAsia="zh-CN"/>
        </w:rPr>
        <w:t>我局按照本年执法业务开展公务接待1次</w:t>
      </w:r>
      <w:r>
        <w:rPr>
          <w:rFonts w:ascii="FangSong_GB2312" w:hAnsi="FangSong_GB2312" w:eastAsia="FangSong_GB2312" w:cs="FangSong_GB2312"/>
          <w:kern w:val="0"/>
          <w:sz w:val="32"/>
          <w:szCs w:val="32"/>
          <w:u w:val="none"/>
        </w:rPr>
        <w:t>；国（境）外公务接待支出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万元，接待</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批次，</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人次，开支内容：</w:t>
      </w:r>
      <w:r>
        <w:rPr>
          <w:rFonts w:hint="eastAsia" w:ascii="FangSong_GB2312" w:hAnsi="FangSong_GB2312" w:eastAsia="FangSong_GB2312" w:cs="FangSong_GB2312"/>
          <w:kern w:val="0"/>
          <w:sz w:val="32"/>
          <w:szCs w:val="32"/>
          <w:u w:val="none"/>
          <w:lang w:eastAsia="zh-CN"/>
        </w:rPr>
        <w:t>无</w:t>
      </w:r>
      <w:r>
        <w:rPr>
          <w:rFonts w:ascii="FangSong_GB2312" w:hAnsi="FangSong_GB2312" w:eastAsia="FangSong_GB2312" w:cs="FangSong_GB2312"/>
          <w:kern w:val="0"/>
          <w:sz w:val="32"/>
          <w:szCs w:val="32"/>
          <w:u w:val="none"/>
        </w:rPr>
        <w:t>。与上年决算相比，减少</w:t>
      </w:r>
      <w:r>
        <w:rPr>
          <w:rFonts w:eastAsia="Times New Roman"/>
          <w:kern w:val="0"/>
          <w:sz w:val="32"/>
          <w:szCs w:val="32"/>
          <w:u w:val="none"/>
          <w:lang w:eastAsia="en-US"/>
        </w:rPr>
        <w:t>0.10</w:t>
      </w:r>
      <w:r>
        <w:rPr>
          <w:rFonts w:ascii="FangSong_GB2312" w:hAnsi="FangSong_GB2312" w:eastAsia="FangSong_GB2312" w:cs="FangSong_GB2312"/>
          <w:kern w:val="0"/>
          <w:sz w:val="32"/>
          <w:szCs w:val="32"/>
          <w:u w:val="none"/>
        </w:rPr>
        <w:t>万元，下降</w:t>
      </w:r>
      <w:r>
        <w:rPr>
          <w:rFonts w:eastAsia="Times New Roman"/>
          <w:kern w:val="0"/>
          <w:sz w:val="32"/>
          <w:szCs w:val="32"/>
          <w:u w:val="none"/>
          <w:lang w:eastAsia="en-US"/>
        </w:rPr>
        <w:t>66.90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仿宋_GB2312" w:hAnsi="仿宋_GB2312" w:eastAsia="仿宋_GB2312" w:cs="仿宋_GB2312"/>
          <w:b w:val="0"/>
          <w:bCs w:val="0"/>
          <w:kern w:val="0"/>
          <w:sz w:val="32"/>
          <w:szCs w:val="32"/>
          <w:u w:val="none"/>
          <w:lang w:val="en-US" w:eastAsia="zh-CN"/>
        </w:rPr>
        <w:t>我局按照本年执法业务开展公务接待1次，接待人数减少，费用减少。</w:t>
      </w:r>
    </w:p>
    <w:p w14:paraId="22BC8B33">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14:paraId="3ED9CCB4">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u w:val="none"/>
        </w:rPr>
        <w:t>乌海市文化市场综合行政执法局</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年度政府性基金预算财政拨款支出决算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万元。与上年决算相比，增加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仿宋_GB2312" w:hAnsi="仿宋_GB2312" w:eastAsia="仿宋_GB2312" w:cs="仿宋_GB2312"/>
          <w:b w:val="0"/>
          <w:bCs w:val="0"/>
          <w:kern w:val="0"/>
          <w:sz w:val="32"/>
          <w:szCs w:val="32"/>
          <w:u w:val="none"/>
          <w:lang w:val="en-US" w:eastAsia="zh-CN"/>
        </w:rPr>
        <w:t>本年无政府性基金预算财政拨款收、支、余。</w:t>
      </w:r>
    </w:p>
    <w:p w14:paraId="771AA691">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78BB509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ascii="FangSong_GB2312" w:hAnsi="FangSong_GB2312" w:eastAsia="FangSong_GB2312" w:cs="FangSong_GB2312"/>
          <w:kern w:val="0"/>
          <w:sz w:val="32"/>
          <w:szCs w:val="32"/>
        </w:rPr>
        <w:t>乌海市文化市场综合行政执法局</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仿宋_GB2312" w:hAnsi="仿宋_GB2312" w:eastAsia="仿宋_GB2312" w:cs="仿宋_GB2312"/>
          <w:b w:val="0"/>
          <w:bCs w:val="0"/>
          <w:kern w:val="0"/>
          <w:sz w:val="32"/>
          <w:szCs w:val="32"/>
          <w:lang w:val="en-US" w:eastAsia="zh-CN"/>
        </w:rPr>
        <w:t>本年无国有资本经营预算财政拨款收、支、余。</w:t>
      </w:r>
    </w:p>
    <w:p w14:paraId="781F89B5">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39BF19EA">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 xml:space="preserve">乌海市文化市场综合行政执法局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年度公用经费支出决算</w:t>
      </w:r>
      <w:r>
        <w:rPr>
          <w:rFonts w:eastAsia="Times New Roman"/>
          <w:kern w:val="0"/>
          <w:sz w:val="32"/>
          <w:szCs w:val="32"/>
          <w:u w:val="none"/>
          <w:lang w:eastAsia="en-US"/>
        </w:rPr>
        <w:t xml:space="preserve"> 44.20</w:t>
      </w:r>
      <w:r>
        <w:rPr>
          <w:rFonts w:ascii="FangSong_GB2312" w:hAnsi="FangSong_GB2312" w:eastAsia="FangSong_GB2312" w:cs="FangSong_GB2312"/>
          <w:kern w:val="0"/>
          <w:sz w:val="32"/>
          <w:szCs w:val="32"/>
          <w:u w:val="none"/>
        </w:rPr>
        <w:t>万元，与上年决算相比，减少</w:t>
      </w:r>
      <w:r>
        <w:rPr>
          <w:rFonts w:eastAsia="Times New Roman"/>
          <w:kern w:val="0"/>
          <w:sz w:val="32"/>
          <w:szCs w:val="32"/>
          <w:u w:val="none"/>
          <w:lang w:eastAsia="en-US"/>
        </w:rPr>
        <w:t>1.64</w:t>
      </w:r>
      <w:r>
        <w:rPr>
          <w:rFonts w:ascii="FangSong_GB2312" w:hAnsi="FangSong_GB2312" w:eastAsia="FangSong_GB2312" w:cs="FangSong_GB2312"/>
          <w:kern w:val="0"/>
          <w:sz w:val="32"/>
          <w:szCs w:val="32"/>
          <w:u w:val="none"/>
        </w:rPr>
        <w:t>万元，下降</w:t>
      </w:r>
      <w:r>
        <w:rPr>
          <w:rFonts w:eastAsia="Times New Roman"/>
          <w:kern w:val="0"/>
          <w:sz w:val="32"/>
          <w:szCs w:val="32"/>
          <w:u w:val="none"/>
          <w:lang w:eastAsia="en-US"/>
        </w:rPr>
        <w:t xml:space="preserve"> -3.58</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u w:val="none"/>
          <w:lang w:eastAsia="en-US"/>
        </w:rPr>
        <w:t>严格落实厉行节约要求，严控一般性支出，经费支出相应减少</w:t>
      </w:r>
      <w:r>
        <w:rPr>
          <w:rFonts w:ascii="FangSong_GB2312" w:hAnsi="FangSong_GB2312" w:eastAsia="FangSong_GB2312" w:cs="FangSong_GB2312"/>
          <w:kern w:val="0"/>
          <w:sz w:val="32"/>
          <w:szCs w:val="32"/>
          <w:u w:val="none"/>
        </w:rPr>
        <w:t>。其中，机关运行经费支出决算</w:t>
      </w:r>
      <w:r>
        <w:rPr>
          <w:rFonts w:eastAsia="Times New Roman"/>
          <w:kern w:val="0"/>
          <w:sz w:val="32"/>
          <w:szCs w:val="32"/>
          <w:u w:val="none"/>
          <w:lang w:eastAsia="en-US"/>
        </w:rPr>
        <w:t xml:space="preserve"> 44.20</w:t>
      </w:r>
      <w:r>
        <w:rPr>
          <w:rFonts w:ascii="FangSong_GB2312" w:hAnsi="FangSong_GB2312" w:eastAsia="FangSong_GB2312" w:cs="FangSong_GB2312"/>
          <w:kern w:val="0"/>
          <w:sz w:val="32"/>
          <w:szCs w:val="32"/>
          <w:u w:val="none"/>
        </w:rPr>
        <w:t>万元。比上年决算相比，减少</w:t>
      </w:r>
      <w:r>
        <w:rPr>
          <w:rFonts w:eastAsia="Times New Roman"/>
          <w:kern w:val="0"/>
          <w:sz w:val="32"/>
          <w:szCs w:val="32"/>
          <w:u w:val="none"/>
          <w:lang w:eastAsia="en-US"/>
        </w:rPr>
        <w:t>1.64</w:t>
      </w:r>
      <w:r>
        <w:rPr>
          <w:rFonts w:ascii="FangSong_GB2312" w:hAnsi="FangSong_GB2312" w:eastAsia="FangSong_GB2312" w:cs="FangSong_GB2312"/>
          <w:kern w:val="0"/>
          <w:sz w:val="32"/>
          <w:szCs w:val="32"/>
          <w:u w:val="none"/>
        </w:rPr>
        <w:t>万元，下降</w:t>
      </w:r>
      <w:r>
        <w:rPr>
          <w:rFonts w:eastAsia="Times New Roman"/>
          <w:kern w:val="0"/>
          <w:sz w:val="32"/>
          <w:szCs w:val="32"/>
          <w:u w:val="none"/>
          <w:lang w:eastAsia="en-US"/>
        </w:rPr>
        <w:t>3.58</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u w:val="none"/>
          <w:lang w:eastAsia="en-US"/>
        </w:rPr>
        <w:t>严格落实厉行节约要求，严控一般性支出，经费支出相应减少</w:t>
      </w:r>
      <w:r>
        <w:rPr>
          <w:rFonts w:ascii="FangSong_GB2312" w:hAnsi="FangSong_GB2312" w:eastAsia="FangSong_GB2312" w:cs="FangSong_GB2312"/>
          <w:kern w:val="0"/>
          <w:sz w:val="32"/>
          <w:szCs w:val="32"/>
          <w:u w:val="none"/>
        </w:rPr>
        <w:t>。</w:t>
      </w:r>
    </w:p>
    <w:p w14:paraId="1706AC89">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14:paraId="6655535D">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u w:val="none"/>
        </w:rPr>
        <w:t>乌海市文化市场综合行政执法局</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年度政府采购支出总额</w:t>
      </w:r>
      <w:r>
        <w:rPr>
          <w:rFonts w:eastAsia="Times New Roman"/>
          <w:kern w:val="0"/>
          <w:sz w:val="32"/>
          <w:szCs w:val="32"/>
          <w:u w:val="none"/>
          <w:lang w:eastAsia="en-US"/>
        </w:rPr>
        <w:t xml:space="preserve"> 8.12</w:t>
      </w:r>
      <w:r>
        <w:rPr>
          <w:rFonts w:ascii="FangSong_GB2312" w:hAnsi="FangSong_GB2312" w:eastAsia="FangSong_GB2312" w:cs="FangSong_GB2312"/>
          <w:kern w:val="0"/>
          <w:sz w:val="32"/>
          <w:szCs w:val="32"/>
          <w:u w:val="none"/>
        </w:rPr>
        <w:t>万元，其中：政府采购货物支出</w:t>
      </w:r>
      <w:r>
        <w:rPr>
          <w:rFonts w:eastAsia="Times New Roman"/>
          <w:kern w:val="0"/>
          <w:sz w:val="32"/>
          <w:szCs w:val="32"/>
          <w:u w:val="none"/>
          <w:lang w:eastAsia="en-US"/>
        </w:rPr>
        <w:t xml:space="preserve"> 6.31</w:t>
      </w:r>
      <w:r>
        <w:rPr>
          <w:rFonts w:ascii="FangSong_GB2312" w:hAnsi="FangSong_GB2312" w:eastAsia="FangSong_GB2312" w:cs="FangSong_GB2312"/>
          <w:kern w:val="0"/>
          <w:sz w:val="32"/>
          <w:szCs w:val="32"/>
          <w:u w:val="none"/>
        </w:rPr>
        <w:t>万元、政府采购工程支出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万元、政府采购服务支出</w:t>
      </w:r>
      <w:r>
        <w:rPr>
          <w:rFonts w:eastAsia="Times New Roman"/>
          <w:kern w:val="0"/>
          <w:sz w:val="32"/>
          <w:szCs w:val="32"/>
          <w:u w:val="none"/>
          <w:lang w:eastAsia="en-US"/>
        </w:rPr>
        <w:t xml:space="preserve"> 1.81</w:t>
      </w:r>
      <w:r>
        <w:rPr>
          <w:rFonts w:ascii="FangSong_GB2312" w:hAnsi="FangSong_GB2312" w:eastAsia="FangSong_GB2312" w:cs="FangSong_GB2312"/>
          <w:kern w:val="0"/>
          <w:sz w:val="32"/>
          <w:szCs w:val="32"/>
          <w:u w:val="none"/>
        </w:rPr>
        <w:t>万元。政府采购授予中小企业合同金额</w:t>
      </w:r>
      <w:r>
        <w:rPr>
          <w:rFonts w:eastAsia="Times New Roman"/>
          <w:kern w:val="0"/>
          <w:sz w:val="32"/>
          <w:szCs w:val="32"/>
          <w:u w:val="none"/>
          <w:lang w:eastAsia="en-US"/>
        </w:rPr>
        <w:t xml:space="preserve"> 8.12</w:t>
      </w:r>
      <w:r>
        <w:rPr>
          <w:rFonts w:ascii="FangSong_GB2312" w:hAnsi="FangSong_GB2312" w:eastAsia="FangSong_GB2312" w:cs="FangSong_GB2312"/>
          <w:kern w:val="0"/>
          <w:sz w:val="32"/>
          <w:szCs w:val="32"/>
          <w:u w:val="none"/>
        </w:rPr>
        <w:t>万元，占政府采购支出总额的</w:t>
      </w:r>
      <w:r>
        <w:rPr>
          <w:rFonts w:hint="eastAsia"/>
          <w:kern w:val="0"/>
          <w:sz w:val="32"/>
          <w:szCs w:val="32"/>
          <w:u w:val="none"/>
          <w:lang w:val="en-US" w:eastAsia="zh-CN"/>
        </w:rPr>
        <w:t>100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，其中：授予小微企业合同金额</w:t>
      </w:r>
      <w:r>
        <w:rPr>
          <w:rFonts w:eastAsia="Times New Roman"/>
          <w:kern w:val="0"/>
          <w:sz w:val="32"/>
          <w:szCs w:val="32"/>
          <w:u w:val="none"/>
          <w:lang w:eastAsia="en-US"/>
        </w:rPr>
        <w:t xml:space="preserve"> 8.12</w:t>
      </w:r>
      <w:r>
        <w:rPr>
          <w:rFonts w:ascii="FangSong_GB2312" w:hAnsi="FangSong_GB2312" w:eastAsia="FangSong_GB2312" w:cs="FangSong_GB2312"/>
          <w:kern w:val="0"/>
          <w:sz w:val="32"/>
          <w:szCs w:val="32"/>
          <w:u w:val="none"/>
        </w:rPr>
        <w:t>万元，占政府采购支出总额的</w:t>
      </w:r>
      <w:r>
        <w:rPr>
          <w:rFonts w:hint="eastAsia"/>
          <w:kern w:val="0"/>
          <w:sz w:val="32"/>
          <w:szCs w:val="32"/>
          <w:u w:val="none"/>
          <w:lang w:val="en-US" w:eastAsia="zh-CN"/>
        </w:rPr>
        <w:t>100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；货物采购授予中小企业合同金额占货物支出金额的</w:t>
      </w:r>
      <w:r>
        <w:rPr>
          <w:rFonts w:hint="eastAsia"/>
          <w:kern w:val="0"/>
          <w:sz w:val="32"/>
          <w:szCs w:val="32"/>
          <w:u w:val="none"/>
          <w:lang w:val="en-US" w:eastAsia="zh-CN"/>
        </w:rPr>
        <w:t>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，工程采购授予中小企业合同金额占工程支出金额的</w:t>
      </w:r>
      <w:r>
        <w:rPr>
          <w:rFonts w:hint="eastAsia"/>
          <w:kern w:val="0"/>
          <w:sz w:val="32"/>
          <w:szCs w:val="32"/>
          <w:u w:val="none"/>
          <w:lang w:val="en-US" w:eastAsia="zh-CN"/>
        </w:rPr>
        <w:t>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，服务采购授予中小企业合同金额占服务支出金额的</w:t>
      </w:r>
      <w:r>
        <w:rPr>
          <w:rFonts w:hint="eastAsia"/>
          <w:kern w:val="0"/>
          <w:sz w:val="32"/>
          <w:szCs w:val="32"/>
          <w:u w:val="none"/>
          <w:lang w:val="en-US" w:eastAsia="zh-CN"/>
        </w:rPr>
        <w:t>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1BECC3B3">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3E5FB546">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乌海市文化市场综合行政执法局截至</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w:t>
      </w:r>
      <w:r>
        <w:rPr>
          <w:rFonts w:eastAsia="Times New Roman"/>
          <w:kern w:val="0"/>
          <w:sz w:val="32"/>
          <w:szCs w:val="32"/>
          <w:u w:val="none"/>
          <w:lang w:eastAsia="en-US"/>
        </w:rPr>
        <w:t>12</w:t>
      </w:r>
      <w:r>
        <w:rPr>
          <w:rFonts w:ascii="FangSong_GB2312" w:hAnsi="FangSong_GB2312" w:eastAsia="FangSong_GB2312" w:cs="FangSong_GB2312"/>
          <w:kern w:val="0"/>
          <w:sz w:val="32"/>
          <w:szCs w:val="32"/>
          <w:u w:val="none"/>
        </w:rPr>
        <w:t>月</w:t>
      </w:r>
      <w:r>
        <w:rPr>
          <w:rFonts w:eastAsia="Times New Roman"/>
          <w:kern w:val="0"/>
          <w:sz w:val="32"/>
          <w:szCs w:val="32"/>
          <w:u w:val="none"/>
          <w:lang w:eastAsia="en-US"/>
        </w:rPr>
        <w:t>31</w:t>
      </w:r>
      <w:r>
        <w:rPr>
          <w:rFonts w:ascii="FangSong_GB2312" w:hAnsi="FangSong_GB2312" w:eastAsia="FangSong_GB2312" w:cs="FangSong_GB2312"/>
          <w:kern w:val="0"/>
          <w:sz w:val="32"/>
          <w:szCs w:val="32"/>
          <w:u w:val="none"/>
        </w:rPr>
        <w:t>日，本单位共有车辆</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辆，其中：副部（省）级及以上领导用车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辆、主要负责人用车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辆、机要通信用车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辆、应急保障用车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辆、执法执勤用车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辆、特种专业技术用车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辆、离退休干部服务用车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辆、其他用车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辆；单价</w:t>
      </w:r>
      <w:r>
        <w:rPr>
          <w:rFonts w:eastAsia="Times New Roman"/>
          <w:kern w:val="0"/>
          <w:sz w:val="32"/>
          <w:szCs w:val="32"/>
          <w:u w:val="none"/>
          <w:lang w:eastAsia="en-US"/>
        </w:rPr>
        <w:t>100</w:t>
      </w:r>
      <w:r>
        <w:rPr>
          <w:rFonts w:ascii="FangSong_GB2312" w:hAnsi="FangSong_GB2312" w:eastAsia="FangSong_GB2312" w:cs="FangSong_GB2312"/>
          <w:kern w:val="0"/>
          <w:sz w:val="32"/>
          <w:szCs w:val="32"/>
          <w:u w:val="none"/>
        </w:rPr>
        <w:t>万元（含）以上设备（不含车辆）</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台（套）。</w:t>
      </w:r>
    </w:p>
    <w:p w14:paraId="43020F9F">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1C725336">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61F612E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FangSong_GB2312" w:hAnsi="FangSong_GB2312" w:eastAsia="FangSong_GB2312" w:cs="FangSong_GB2312"/>
          <w:kern w:val="0"/>
          <w:sz w:val="32"/>
          <w:szCs w:val="32"/>
          <w:u w:val="none"/>
        </w:rPr>
      </w:pPr>
      <w:r>
        <w:rPr>
          <w:rFonts w:ascii="FangSong_GB2312" w:hAnsi="FangSong_GB2312" w:eastAsia="FangSong_GB2312" w:cs="FangSong_GB2312"/>
          <w:kern w:val="0"/>
          <w:sz w:val="32"/>
          <w:szCs w:val="32"/>
          <w:u w:val="none"/>
        </w:rPr>
        <w:t>乌海市文化市场综合行政执法局根据预算绩效管理要求组织对</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年一般公共预算项目支出全面开展绩效自评，共涉及项目</w:t>
      </w:r>
      <w:r>
        <w:rPr>
          <w:rFonts w:hint="eastAsia"/>
          <w:kern w:val="0"/>
          <w:sz w:val="32"/>
          <w:szCs w:val="32"/>
          <w:u w:val="none"/>
          <w:lang w:val="en-US" w:eastAsia="zh-CN"/>
        </w:rPr>
        <w:t>2</w:t>
      </w:r>
      <w:r>
        <w:rPr>
          <w:rFonts w:ascii="FangSong_GB2312" w:hAnsi="FangSong_GB2312" w:eastAsia="FangSong_GB2312" w:cs="FangSong_GB2312"/>
          <w:kern w:val="0"/>
          <w:sz w:val="32"/>
          <w:szCs w:val="32"/>
          <w:u w:val="none"/>
        </w:rPr>
        <w:t>个，资金</w:t>
      </w:r>
      <w:r>
        <w:rPr>
          <w:rFonts w:eastAsia="Times New Roman"/>
          <w:kern w:val="0"/>
          <w:sz w:val="32"/>
          <w:szCs w:val="32"/>
          <w:u w:val="none"/>
          <w:lang w:eastAsia="en-US"/>
        </w:rPr>
        <w:t xml:space="preserve"> 19.86</w:t>
      </w:r>
      <w:r>
        <w:rPr>
          <w:rFonts w:ascii="FangSong_GB2312" w:hAnsi="FangSong_GB2312" w:eastAsia="FangSong_GB2312" w:cs="FangSong_GB2312"/>
          <w:kern w:val="0"/>
          <w:sz w:val="32"/>
          <w:szCs w:val="32"/>
          <w:u w:val="none"/>
        </w:rPr>
        <w:t>万元，占一般公共预算项目支出总额的</w:t>
      </w:r>
      <w:r>
        <w:rPr>
          <w:rFonts w:eastAsia="Times New Roman"/>
          <w:kern w:val="0"/>
          <w:sz w:val="32"/>
          <w:szCs w:val="32"/>
          <w:u w:val="none"/>
          <w:lang w:eastAsia="en-US"/>
        </w:rPr>
        <w:t>100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；政府性基金预算项目</w:t>
      </w:r>
      <w:r>
        <w:rPr>
          <w:rFonts w:hint="eastAsia"/>
          <w:kern w:val="0"/>
          <w:sz w:val="32"/>
          <w:szCs w:val="32"/>
          <w:u w:val="none"/>
          <w:lang w:val="en-US" w:eastAsia="zh-CN"/>
        </w:rPr>
        <w:t>0</w:t>
      </w:r>
      <w:r>
        <w:rPr>
          <w:rFonts w:ascii="FangSong_GB2312" w:hAnsi="FangSong_GB2312" w:eastAsia="FangSong_GB2312" w:cs="FangSong_GB2312"/>
          <w:kern w:val="0"/>
          <w:sz w:val="32"/>
          <w:szCs w:val="32"/>
          <w:u w:val="none"/>
        </w:rPr>
        <w:t>个，共涉及资金</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万元，占政府性基金预算项目支出总额的</w:t>
      </w:r>
      <w:r>
        <w:rPr>
          <w:rFonts w:eastAsia="Times New Roman"/>
          <w:kern w:val="0"/>
          <w:sz w:val="32"/>
          <w:szCs w:val="32"/>
          <w:u w:val="none"/>
          <w:lang w:eastAsia="en-US"/>
        </w:rPr>
        <w:t>100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14:paraId="343AC23D">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Times New Roman" w:cs="Times New Roman"/>
          <w:kern w:val="0"/>
          <w:sz w:val="24"/>
        </w:rPr>
      </w:pPr>
      <w:r>
        <w:rPr>
          <w:rFonts w:hint="eastAsia" w:ascii="仿宋_GB2312" w:hAnsi="仿宋_GB2312" w:eastAsia="仿宋_GB2312" w:cs="仿宋_GB2312"/>
          <w:b w:val="0"/>
          <w:bCs w:val="0"/>
          <w:kern w:val="0"/>
          <w:sz w:val="32"/>
          <w:szCs w:val="32"/>
          <w:lang w:val="en-US" w:eastAsia="zh-CN"/>
        </w:rPr>
        <w:t xml:space="preserve">本单位2025年未开展重点项目绩效评价。 </w:t>
      </w:r>
    </w:p>
    <w:p w14:paraId="51CDC096">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（二）单位</w:t>
      </w:r>
      <w:bookmarkStart w:id="1" w:name="_GoBack"/>
      <w:bookmarkEnd w:id="1"/>
      <w:r>
        <w:rPr>
          <w:rFonts w:ascii="楷体" w:hAnsi="楷体" w:eastAsia="楷体" w:cs="楷体"/>
          <w:b/>
          <w:bCs/>
          <w:kern w:val="0"/>
          <w:sz w:val="32"/>
          <w:szCs w:val="32"/>
        </w:rPr>
        <w:t>决算中项目绩效自评结果。</w:t>
      </w:r>
    </w:p>
    <w:p w14:paraId="026EA9DB">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乌海市文化市场综合行政执法局</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年度在决算中反映</w:t>
      </w:r>
      <w:r>
        <w:rPr>
          <w:rFonts w:hint="eastAsia"/>
          <w:kern w:val="0"/>
          <w:sz w:val="32"/>
          <w:szCs w:val="32"/>
          <w:u w:val="none"/>
          <w:lang w:val="en-US" w:eastAsia="zh-CN"/>
        </w:rPr>
        <w:t>2</w:t>
      </w:r>
      <w:r>
        <w:rPr>
          <w:rFonts w:ascii="FangSong_GB2312" w:hAnsi="FangSong_GB2312" w:eastAsia="FangSong_GB2312" w:cs="FangSong_GB2312"/>
          <w:kern w:val="0"/>
          <w:sz w:val="32"/>
          <w:szCs w:val="32"/>
          <w:u w:val="none"/>
        </w:rPr>
        <w:t>个一般公共预算项目，以及</w:t>
      </w:r>
      <w:r>
        <w:rPr>
          <w:rFonts w:hint="eastAsia"/>
          <w:kern w:val="0"/>
          <w:sz w:val="32"/>
          <w:szCs w:val="32"/>
          <w:u w:val="none"/>
          <w:lang w:val="en-US" w:eastAsia="zh-CN"/>
        </w:rPr>
        <w:t>0</w:t>
      </w:r>
      <w:r>
        <w:rPr>
          <w:rFonts w:ascii="FangSong_GB2312" w:hAnsi="FangSong_GB2312" w:eastAsia="FangSong_GB2312" w:cs="FangSong_GB2312"/>
          <w:kern w:val="0"/>
          <w:sz w:val="32"/>
          <w:szCs w:val="32"/>
          <w:u w:val="none"/>
        </w:rPr>
        <w:t>个政府性基金项目，共</w:t>
      </w:r>
      <w:r>
        <w:rPr>
          <w:rFonts w:hint="eastAsia"/>
          <w:kern w:val="0"/>
          <w:sz w:val="32"/>
          <w:szCs w:val="32"/>
          <w:u w:val="none"/>
          <w:lang w:val="en-US" w:eastAsia="zh-CN"/>
        </w:rPr>
        <w:t>1</w:t>
      </w:r>
      <w:r>
        <w:rPr>
          <w:rFonts w:ascii="FangSong_GB2312" w:hAnsi="FangSong_GB2312" w:eastAsia="FangSong_GB2312" w:cs="FangSong_GB2312"/>
          <w:kern w:val="0"/>
          <w:sz w:val="32"/>
          <w:szCs w:val="32"/>
          <w:u w:val="none"/>
        </w:rPr>
        <w:t>个项目的绩效自评结果。</w:t>
      </w:r>
    </w:p>
    <w:p w14:paraId="252388C9">
      <w:pPr>
        <w:pStyle w:val="32"/>
        <w:widowControl/>
        <w:spacing w:before="240" w:after="240" w:line="560" w:lineRule="atLeast"/>
        <w:ind w:firstLine="640"/>
        <w:jc w:val="left"/>
        <w:rPr>
          <w:rFonts w:hint="eastAsia" w:ascii="仿宋_GB2312" w:hAnsi="仿宋_GB2312" w:eastAsia="仿宋_GB2312" w:cs="仿宋_GB2312"/>
          <w:b w:val="0"/>
          <w:bCs w:val="0"/>
          <w:kern w:val="0"/>
          <w:sz w:val="32"/>
          <w:szCs w:val="32"/>
          <w:lang w:val="en-US" w:eastAsia="zh-CN"/>
        </w:rPr>
      </w:pPr>
      <w:r>
        <w:rPr>
          <w:rFonts w:ascii="FangSong_GB2312" w:hAnsi="FangSong_GB2312" w:eastAsia="FangSong_GB2312" w:cs="FangSong_GB2312"/>
          <w:kern w:val="0"/>
          <w:sz w:val="32"/>
          <w:szCs w:val="32"/>
          <w:lang w:eastAsia="en-US"/>
        </w:rPr>
        <w:t>1.</w:t>
      </w:r>
      <w:r>
        <w:rPr>
          <w:rFonts w:hint="eastAsia" w:ascii="仿宋_GB2312" w:hAnsi="仿宋_GB2312" w:eastAsia="仿宋_GB2312" w:cs="仿宋_GB2312"/>
          <w:b w:val="0"/>
          <w:bCs w:val="0"/>
          <w:kern w:val="0"/>
          <w:sz w:val="32"/>
          <w:szCs w:val="32"/>
          <w:lang w:val="en-US" w:eastAsia="zh-CN"/>
        </w:rPr>
        <w:t>执法办案费项目自评综述：根据年初设定的绩效目标，项目自评得分99.95分。全年预算数为10万元，执行数为9.95万元，完成预算的99.5%。项目绩效目标完成情况：2025年，我局执法人员培训10次，培训合格率达90%。发现的主要问题及原因：2025年各项执法工作进行有序，需要在各项活动中更精确成本。下一步改进措施：尽量以多种形式，优化资源配置，全方位开展各项宣传活动，提升执法办案水平。</w:t>
      </w:r>
    </w:p>
    <w:p w14:paraId="6320EFFE">
      <w:pPr>
        <w:pStyle w:val="2"/>
        <w:rPr>
          <w:rFonts w:hint="eastAsia" w:ascii="仿宋_GB2312" w:hAnsi="仿宋_GB2312" w:eastAsia="仿宋_GB2312" w:cs="仿宋_GB2312"/>
          <w:b w:val="0"/>
          <w:bCs w:val="0"/>
          <w:kern w:val="0"/>
          <w:sz w:val="32"/>
          <w:szCs w:val="32"/>
          <w:lang w:val="en-US" w:eastAsia="zh-CN"/>
        </w:rPr>
      </w:pPr>
    </w:p>
    <w:p w14:paraId="05170AE8">
      <w:pPr>
        <w:pStyle w:val="4"/>
        <w:rPr>
          <w:rFonts w:hint="eastAsia"/>
          <w:lang w:val="en-US" w:eastAsia="zh-CN"/>
        </w:rPr>
      </w:pPr>
    </w:p>
    <w:tbl>
      <w:tblPr>
        <w:tblStyle w:val="22"/>
        <w:tblW w:w="505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4"/>
        <w:gridCol w:w="745"/>
        <w:gridCol w:w="913"/>
        <w:gridCol w:w="810"/>
        <w:gridCol w:w="392"/>
        <w:gridCol w:w="735"/>
        <w:gridCol w:w="135"/>
        <w:gridCol w:w="345"/>
        <w:gridCol w:w="420"/>
        <w:gridCol w:w="101"/>
        <w:gridCol w:w="1046"/>
        <w:gridCol w:w="101"/>
        <w:gridCol w:w="584"/>
        <w:gridCol w:w="101"/>
        <w:gridCol w:w="613"/>
        <w:gridCol w:w="101"/>
        <w:gridCol w:w="636"/>
        <w:gridCol w:w="101"/>
      </w:tblGrid>
      <w:tr w14:paraId="49858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8" w:type="pct"/>
          <w:trHeight w:val="1538" w:hRule="atLeast"/>
        </w:trPr>
        <w:tc>
          <w:tcPr>
            <w:tcW w:w="4941"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45CA7D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40"/>
                <w:szCs w:val="40"/>
                <w:u w:val="none"/>
              </w:rPr>
            </w:pPr>
            <w:r>
              <w:rPr>
                <w:rFonts w:hint="default" w:ascii="Times New Roman" w:hAnsi="Times New Roman" w:eastAsia="宋体" w:cs="Times New Roman"/>
                <w:b/>
                <w:bCs/>
                <w:i w:val="0"/>
                <w:iCs w:val="0"/>
                <w:color w:val="000000"/>
                <w:kern w:val="0"/>
                <w:sz w:val="40"/>
                <w:szCs w:val="40"/>
                <w:u w:val="none"/>
                <w:lang w:val="en-US" w:eastAsia="zh-CN" w:bidi="ar"/>
              </w:rPr>
              <w:t>项目支出绩效自评表</w:t>
            </w:r>
            <w:r>
              <w:rPr>
                <w:rFonts w:hint="default" w:ascii="Times New Roman" w:hAnsi="Times New Roman" w:eastAsia="宋体" w:cs="Times New Roman"/>
                <w:b/>
                <w:bCs/>
                <w:i w:val="0"/>
                <w:iCs w:val="0"/>
                <w:color w:val="000000"/>
                <w:kern w:val="0"/>
                <w:sz w:val="40"/>
                <w:szCs w:val="40"/>
                <w:u w:val="none"/>
                <w:lang w:val="en-US" w:eastAsia="zh-CN" w:bidi="ar"/>
              </w:rPr>
              <w:br w:type="textWrapping"/>
            </w:r>
            <w:r>
              <w:rPr>
                <w:rFonts w:hint="default" w:ascii="Times New Roman" w:hAnsi="Times New Roman" w:eastAsia="宋体" w:cs="Times New Roman"/>
                <w:b/>
                <w:bCs/>
                <w:i w:val="0"/>
                <w:iCs w:val="0"/>
                <w:color w:val="000000"/>
                <w:kern w:val="0"/>
                <w:sz w:val="40"/>
                <w:szCs w:val="40"/>
                <w:u w:val="none"/>
                <w:lang w:val="en-US" w:eastAsia="zh-CN" w:bidi="ar"/>
              </w:rPr>
              <w:t>(202</w:t>
            </w:r>
            <w:r>
              <w:rPr>
                <w:rFonts w:hint="eastAsia" w:ascii="Times New Roman" w:hAnsi="Times New Roman" w:eastAsia="宋体" w:cs="Times New Roman"/>
                <w:b/>
                <w:bCs/>
                <w:i w:val="0"/>
                <w:iCs w:val="0"/>
                <w:color w:val="000000"/>
                <w:kern w:val="0"/>
                <w:sz w:val="40"/>
                <w:szCs w:val="40"/>
                <w:u w:val="none"/>
                <w:lang w:val="en-US" w:eastAsia="zh-CN" w:bidi="ar"/>
              </w:rPr>
              <w:t>5</w:t>
            </w:r>
            <w:r>
              <w:rPr>
                <w:rFonts w:hint="default" w:ascii="Times New Roman" w:hAnsi="Times New Roman" w:eastAsia="宋体" w:cs="Times New Roman"/>
                <w:b/>
                <w:bCs/>
                <w:i w:val="0"/>
                <w:iCs w:val="0"/>
                <w:color w:val="000000"/>
                <w:kern w:val="0"/>
                <w:sz w:val="40"/>
                <w:szCs w:val="40"/>
                <w:u w:val="none"/>
                <w:lang w:val="en-US" w:eastAsia="zh-CN" w:bidi="ar"/>
              </w:rPr>
              <w:t>年度）</w:t>
            </w:r>
          </w:p>
        </w:tc>
      </w:tr>
      <w:tr w14:paraId="17DD3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116" w:hRule="atLeast"/>
        </w:trPr>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7CCC0">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78"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026D2D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执法办案费</w:t>
            </w:r>
          </w:p>
        </w:tc>
      </w:tr>
      <w:tr w14:paraId="7E1A7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122" w:hRule="atLeast"/>
        </w:trPr>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4F2FC">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65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81D9E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乌海市文体旅游广电局（部门）</w:t>
            </w:r>
          </w:p>
        </w:tc>
        <w:tc>
          <w:tcPr>
            <w:tcW w:w="5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1E3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实施</w:t>
            </w:r>
          </w:p>
          <w:p w14:paraId="5D016C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w:t>
            </w:r>
          </w:p>
        </w:tc>
        <w:tc>
          <w:tcPr>
            <w:tcW w:w="19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6D04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乌海市文化市场综合行政执法局</w:t>
            </w:r>
          </w:p>
        </w:tc>
      </w:tr>
      <w:tr w14:paraId="22F8C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146" w:hRule="atLeast"/>
        </w:trPr>
        <w:tc>
          <w:tcPr>
            <w:tcW w:w="8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A7A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项目资金</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（万元）</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B0D57">
            <w:pPr>
              <w:rPr>
                <w:rFonts w:hint="default" w:ascii="Times New Roman" w:hAnsi="Times New Roman" w:eastAsia="宋体" w:cs="Times New Roman"/>
                <w:i w:val="0"/>
                <w:iCs w:val="0"/>
                <w:color w:val="000000"/>
                <w:sz w:val="18"/>
                <w:szCs w:val="18"/>
                <w:u w:val="none"/>
              </w:rPr>
            </w:pP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E1E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年初预算数</w:t>
            </w:r>
          </w:p>
        </w:tc>
        <w:tc>
          <w:tcPr>
            <w:tcW w:w="6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FC89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全年预算数</w:t>
            </w:r>
          </w:p>
        </w:tc>
        <w:tc>
          <w:tcPr>
            <w:tcW w:w="5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D871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全年</w:t>
            </w:r>
          </w:p>
          <w:p w14:paraId="3A065D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执行数</w:t>
            </w:r>
          </w:p>
        </w:tc>
        <w:tc>
          <w:tcPr>
            <w:tcW w:w="6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F26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分值</w:t>
            </w:r>
          </w:p>
        </w:tc>
        <w:tc>
          <w:tcPr>
            <w:tcW w:w="81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769E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执行率（%）</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45E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r>
      <w:tr w14:paraId="0C28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639" w:hRule="atLeast"/>
        </w:trPr>
        <w:tc>
          <w:tcPr>
            <w:tcW w:w="8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D66DB">
            <w:pPr>
              <w:jc w:val="center"/>
              <w:rPr>
                <w:rFonts w:hint="default" w:ascii="Times New Roman" w:hAnsi="Times New Roman" w:eastAsia="宋体" w:cs="Times New Roman"/>
                <w:i w:val="0"/>
                <w:iCs w:val="0"/>
                <w:color w:val="000000"/>
                <w:sz w:val="18"/>
                <w:szCs w:val="18"/>
                <w:u w:val="none"/>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65D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年度资金总额</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3978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125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5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9FCB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9.95</w:t>
            </w:r>
          </w:p>
        </w:tc>
        <w:tc>
          <w:tcPr>
            <w:tcW w:w="6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6769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1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D207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99.50</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C53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9.95</w:t>
            </w:r>
          </w:p>
        </w:tc>
      </w:tr>
      <w:tr w14:paraId="0838C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776" w:hRule="atLeast"/>
        </w:trPr>
        <w:tc>
          <w:tcPr>
            <w:tcW w:w="8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7BBB6">
            <w:pPr>
              <w:jc w:val="center"/>
              <w:rPr>
                <w:rFonts w:hint="default" w:ascii="Times New Roman" w:hAnsi="Times New Roman" w:eastAsia="宋体" w:cs="Times New Roman"/>
                <w:i w:val="0"/>
                <w:iCs w:val="0"/>
                <w:color w:val="000000"/>
                <w:sz w:val="18"/>
                <w:szCs w:val="18"/>
                <w:u w:val="none"/>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7B23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其中：财政拨款</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BD69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435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5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9F4D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9.95</w:t>
            </w:r>
          </w:p>
        </w:tc>
        <w:tc>
          <w:tcPr>
            <w:tcW w:w="66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4A447">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c>
          <w:tcPr>
            <w:tcW w:w="81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6F30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99.50</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FD937">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r>
      <w:tr w14:paraId="6F7A6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705" w:hRule="atLeast"/>
        </w:trPr>
        <w:tc>
          <w:tcPr>
            <w:tcW w:w="8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D8558">
            <w:pPr>
              <w:jc w:val="center"/>
              <w:rPr>
                <w:rFonts w:hint="default" w:ascii="Times New Roman" w:hAnsi="Times New Roman" w:eastAsia="宋体" w:cs="Times New Roman"/>
                <w:i w:val="0"/>
                <w:iCs w:val="0"/>
                <w:color w:val="000000"/>
                <w:sz w:val="18"/>
                <w:szCs w:val="18"/>
                <w:u w:val="none"/>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4D4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上年结转资金</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E4A6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125F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01D0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4D7E">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c>
          <w:tcPr>
            <w:tcW w:w="81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E9B9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F28B4">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r>
      <w:tr w14:paraId="3C9D7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440" w:hRule="atLeast"/>
        </w:trPr>
        <w:tc>
          <w:tcPr>
            <w:tcW w:w="8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34B0D">
            <w:pPr>
              <w:jc w:val="center"/>
              <w:rPr>
                <w:rFonts w:hint="default" w:ascii="Times New Roman" w:hAnsi="Times New Roman" w:eastAsia="宋体" w:cs="Times New Roman"/>
                <w:i w:val="0"/>
                <w:iCs w:val="0"/>
                <w:color w:val="000000"/>
                <w:sz w:val="18"/>
                <w:szCs w:val="18"/>
                <w:u w:val="none"/>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8F7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62E7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B84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611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F522">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c>
          <w:tcPr>
            <w:tcW w:w="81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9350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F7DB2">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r>
      <w:tr w14:paraId="390D3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380" w:hRule="atLeast"/>
        </w:trPr>
        <w:tc>
          <w:tcPr>
            <w:tcW w:w="8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967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年度总体目标</w:t>
            </w:r>
          </w:p>
        </w:tc>
        <w:tc>
          <w:tcPr>
            <w:tcW w:w="173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9971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预期目标</w:t>
            </w:r>
          </w:p>
        </w:tc>
        <w:tc>
          <w:tcPr>
            <w:tcW w:w="23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DB2B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实际完成情况</w:t>
            </w:r>
          </w:p>
        </w:tc>
      </w:tr>
      <w:tr w14:paraId="79DE2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6654" w:hRule="atLeast"/>
        </w:trPr>
        <w:tc>
          <w:tcPr>
            <w:tcW w:w="8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672BB">
            <w:pPr>
              <w:jc w:val="center"/>
              <w:rPr>
                <w:rFonts w:hint="default" w:ascii="Times New Roman" w:hAnsi="Times New Roman" w:eastAsia="宋体" w:cs="Times New Roman"/>
                <w:i w:val="0"/>
                <w:iCs w:val="0"/>
                <w:color w:val="000000"/>
                <w:sz w:val="18"/>
                <w:szCs w:val="18"/>
                <w:u w:val="none"/>
              </w:rPr>
            </w:pPr>
          </w:p>
        </w:tc>
        <w:tc>
          <w:tcPr>
            <w:tcW w:w="173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23B4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目标1：业务培训，对执法人员举办法制和执法培训，对业主举办普法培训，以及专题培训。</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目标2：普法宣传，重要时间节点，重大活动，专项行动开展主题宣传活动。</w:t>
            </w:r>
          </w:p>
        </w:tc>
        <w:tc>
          <w:tcPr>
            <w:tcW w:w="23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0EC0C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一）全面保障全年市场监管巡查工作落地。本年度依托执法办案经费，全面保障文化、文物、新闻出版、广播电视、电影、旅游、体育七大行业日常监管工作有序开展。足额保障基层执法车辆通行、现场检查、上门核查、常态化巡检等基础执法开支，实现辖区网吧、娱乐场所、出版物门店、影院、旅行社、景区、高危体育场所等经营主体全覆盖巡查，有效筑牢市场监管底线。（二）足额支撑各类专项整治与重点执法行动。充分利用执法办案经费保障全年重点专项工作，顺利完成“扫黄打非”专项行动、校园周边文化环境整治、出版物市场版权治理、文旅市场安全生产检查、营业性演出市场整治、网络文化市场排查等系列专项执法任务，保障执法取证、文书制作、线索核查、异地协查等办案支出，有力打击各类违法违规经营行为。</w:t>
            </w:r>
          </w:p>
          <w:p w14:paraId="0FA8765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三）规范案件办理流程，提升办案质效。经费专款专用，全部用于执法办案直接履职支出。有效保障年度立案查办、调查取证、证据固定、案卷整理、案件公示、事后复查等办案环节，实现案件办理流程规范、闭环到位，全年执法案件办理质量、案卷规范度稳步提升，无程序瑕疵、无执法投诉问题。</w:t>
            </w:r>
          </w:p>
          <w:p w14:paraId="1EC8739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四）保障普法宣传与行业治理工作开展。合理使用办案经费开展行业普法、政策宣讲、入户指导、经营主体警示教育等工作，面向文旅市场经营单位常态化开展法律法规宣传，引导行业自律、规范经营，有效提升辖区文化旅游市场法治化、规范化管理水平。</w:t>
            </w:r>
          </w:p>
        </w:tc>
      </w:tr>
      <w:tr w14:paraId="55141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1" w:type="pct"/>
            <w:tcBorders>
              <w:top w:val="single" w:color="000000" w:sz="4" w:space="0"/>
              <w:left w:val="single" w:color="000000" w:sz="4" w:space="0"/>
              <w:bottom w:val="single" w:color="auto" w:sz="4" w:space="0"/>
              <w:right w:val="single" w:color="000000" w:sz="4" w:space="0"/>
            </w:tcBorders>
            <w:shd w:val="clear" w:color="auto" w:fill="auto"/>
            <w:vAlign w:val="center"/>
          </w:tcPr>
          <w:p w14:paraId="2868B4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w:t>
            </w:r>
          </w:p>
        </w:tc>
        <w:tc>
          <w:tcPr>
            <w:tcW w:w="431" w:type="pct"/>
            <w:tcBorders>
              <w:top w:val="single" w:color="000000" w:sz="4" w:space="0"/>
              <w:left w:val="single" w:color="000000" w:sz="4" w:space="0"/>
              <w:bottom w:val="single" w:color="auto" w:sz="4" w:space="0"/>
              <w:right w:val="single" w:color="000000" w:sz="4" w:space="0"/>
            </w:tcBorders>
            <w:shd w:val="clear" w:color="auto" w:fill="auto"/>
            <w:vAlign w:val="center"/>
          </w:tcPr>
          <w:p w14:paraId="4B4510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29" w:type="pct"/>
            <w:tcBorders>
              <w:top w:val="single" w:color="000000" w:sz="4" w:space="0"/>
              <w:left w:val="single" w:color="000000" w:sz="4" w:space="0"/>
              <w:bottom w:val="single" w:color="auto" w:sz="4" w:space="0"/>
              <w:right w:val="single" w:color="000000" w:sz="4" w:space="0"/>
            </w:tcBorders>
            <w:shd w:val="clear" w:color="auto" w:fill="auto"/>
            <w:vAlign w:val="center"/>
          </w:tcPr>
          <w:p w14:paraId="442CFA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二级</w:t>
            </w:r>
          </w:p>
          <w:p w14:paraId="380863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w:t>
            </w:r>
          </w:p>
        </w:tc>
        <w:tc>
          <w:tcPr>
            <w:tcW w:w="469" w:type="pct"/>
            <w:tcBorders>
              <w:top w:val="single" w:color="000000" w:sz="4" w:space="0"/>
              <w:left w:val="single" w:color="000000" w:sz="4" w:space="0"/>
              <w:bottom w:val="single" w:color="auto" w:sz="4" w:space="0"/>
              <w:right w:val="single" w:color="000000" w:sz="4" w:space="0"/>
            </w:tcBorders>
            <w:shd w:val="clear" w:color="auto" w:fill="auto"/>
            <w:vAlign w:val="center"/>
          </w:tcPr>
          <w:p w14:paraId="143E42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三级</w:t>
            </w:r>
          </w:p>
          <w:p w14:paraId="6318C1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w:t>
            </w:r>
          </w:p>
        </w:tc>
        <w:tc>
          <w:tcPr>
            <w:tcW w:w="227" w:type="pct"/>
            <w:tcBorders>
              <w:top w:val="single" w:color="000000" w:sz="4" w:space="0"/>
              <w:left w:val="single" w:color="000000" w:sz="4" w:space="0"/>
              <w:bottom w:val="single" w:color="auto" w:sz="4" w:space="0"/>
              <w:right w:val="single" w:color="000000" w:sz="4" w:space="0"/>
            </w:tcBorders>
            <w:shd w:val="clear" w:color="auto" w:fill="auto"/>
            <w:vAlign w:val="center"/>
          </w:tcPr>
          <w:p w14:paraId="121CB4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425" w:type="pct"/>
            <w:tcBorders>
              <w:top w:val="single" w:color="000000" w:sz="4" w:space="0"/>
              <w:left w:val="single" w:color="000000" w:sz="4" w:space="0"/>
              <w:bottom w:val="single" w:color="auto" w:sz="4" w:space="0"/>
              <w:right w:val="single" w:color="000000" w:sz="4" w:space="0"/>
            </w:tcBorders>
            <w:shd w:val="clear" w:color="auto" w:fill="auto"/>
            <w:vAlign w:val="center"/>
          </w:tcPr>
          <w:p w14:paraId="4F4C24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指标方向</w:t>
            </w:r>
          </w:p>
        </w:tc>
        <w:tc>
          <w:tcPr>
            <w:tcW w:w="278"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F76AA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年度指标值</w:t>
            </w:r>
          </w:p>
        </w:tc>
        <w:tc>
          <w:tcPr>
            <w:tcW w:w="302"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0FFB51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实际完成值</w:t>
            </w:r>
          </w:p>
        </w:tc>
        <w:tc>
          <w:tcPr>
            <w:tcW w:w="664"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47E22D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计量单位</w:t>
            </w:r>
          </w:p>
        </w:tc>
        <w:tc>
          <w:tcPr>
            <w:tcW w:w="397"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1FC7A6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分值</w:t>
            </w:r>
          </w:p>
        </w:tc>
        <w:tc>
          <w:tcPr>
            <w:tcW w:w="414"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0379C4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27"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2EE9AC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偏差原因分析及改进措施</w:t>
            </w:r>
          </w:p>
        </w:tc>
      </w:tr>
      <w:tr w14:paraId="1F1BE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7698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w:t>
            </w:r>
          </w:p>
        </w:tc>
        <w:tc>
          <w:tcPr>
            <w:tcW w:w="43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3FC0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2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03A8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612C84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执法人员培训次数</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398D1B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425" w:type="pct"/>
            <w:tcBorders>
              <w:top w:val="single" w:color="auto" w:sz="4" w:space="0"/>
              <w:left w:val="single" w:color="auto" w:sz="4" w:space="0"/>
              <w:bottom w:val="single" w:color="auto" w:sz="4" w:space="0"/>
              <w:right w:val="single" w:color="auto" w:sz="4" w:space="0"/>
            </w:tcBorders>
            <w:shd w:val="clear" w:color="auto" w:fill="auto"/>
            <w:vAlign w:val="center"/>
          </w:tcPr>
          <w:p w14:paraId="200B94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2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6EF2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3BBA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E5DE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39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084A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3E51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2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F69989">
            <w:pPr>
              <w:jc w:val="center"/>
              <w:rPr>
                <w:rFonts w:hint="default" w:ascii="Times New Roman" w:hAnsi="Times New Roman" w:eastAsia="宋体" w:cs="Times New Roman"/>
                <w:i w:val="0"/>
                <w:iCs w:val="0"/>
                <w:color w:val="000000"/>
                <w:sz w:val="18"/>
                <w:szCs w:val="18"/>
                <w:u w:val="none"/>
              </w:rPr>
            </w:pPr>
          </w:p>
        </w:tc>
      </w:tr>
      <w:tr w14:paraId="677AB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8115E0">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276897">
            <w:pPr>
              <w:jc w:val="center"/>
              <w:rPr>
                <w:rFonts w:hint="default" w:ascii="Times New Roman" w:hAnsi="Times New Roman" w:eastAsia="宋体" w:cs="Times New Roman"/>
                <w:i w:val="0"/>
                <w:iCs w:val="0"/>
                <w:color w:val="000000"/>
                <w:sz w:val="18"/>
                <w:szCs w:val="18"/>
                <w:u w:val="none"/>
              </w:rPr>
            </w:pPr>
          </w:p>
        </w:tc>
        <w:tc>
          <w:tcPr>
            <w:tcW w:w="52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E4712F">
            <w:pPr>
              <w:jc w:val="center"/>
              <w:rPr>
                <w:rFonts w:hint="default" w:ascii="Times New Roman" w:hAnsi="Times New Roman" w:eastAsia="宋体" w:cs="Times New Roman"/>
                <w:i w:val="0"/>
                <w:iCs w:val="0"/>
                <w:color w:val="000000"/>
                <w:sz w:val="18"/>
                <w:szCs w:val="18"/>
                <w:u w:val="none"/>
              </w:rPr>
            </w:pPr>
          </w:p>
        </w:tc>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157F8E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业主培训次数</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146261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425" w:type="pct"/>
            <w:tcBorders>
              <w:top w:val="single" w:color="auto" w:sz="4" w:space="0"/>
              <w:left w:val="single" w:color="auto" w:sz="4" w:space="0"/>
              <w:bottom w:val="single" w:color="auto" w:sz="4" w:space="0"/>
              <w:right w:val="single" w:color="auto" w:sz="4" w:space="0"/>
            </w:tcBorders>
            <w:shd w:val="clear" w:color="auto" w:fill="auto"/>
            <w:vAlign w:val="center"/>
          </w:tcPr>
          <w:p w14:paraId="755B63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2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E21A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F6D0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6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B4B2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39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04B0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49912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CA12AD">
            <w:pPr>
              <w:jc w:val="center"/>
              <w:rPr>
                <w:rFonts w:hint="default" w:ascii="Times New Roman" w:hAnsi="Times New Roman" w:eastAsia="宋体" w:cs="Times New Roman"/>
                <w:i w:val="0"/>
                <w:iCs w:val="0"/>
                <w:color w:val="000000"/>
                <w:sz w:val="18"/>
                <w:szCs w:val="18"/>
                <w:u w:val="none"/>
              </w:rPr>
            </w:pPr>
          </w:p>
        </w:tc>
      </w:tr>
      <w:tr w14:paraId="6445F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BCDF26">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CABC17">
            <w:pPr>
              <w:jc w:val="center"/>
              <w:rPr>
                <w:rFonts w:hint="default" w:ascii="Times New Roman" w:hAnsi="Times New Roman" w:eastAsia="宋体" w:cs="Times New Roman"/>
                <w:i w:val="0"/>
                <w:iCs w:val="0"/>
                <w:color w:val="000000"/>
                <w:sz w:val="18"/>
                <w:szCs w:val="18"/>
                <w:u w:val="none"/>
              </w:rPr>
            </w:pPr>
          </w:p>
        </w:tc>
        <w:tc>
          <w:tcPr>
            <w:tcW w:w="52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B588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5253A2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业主参训率</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583377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425" w:type="pct"/>
            <w:tcBorders>
              <w:top w:val="single" w:color="auto" w:sz="4" w:space="0"/>
              <w:left w:val="single" w:color="auto" w:sz="4" w:space="0"/>
              <w:bottom w:val="single" w:color="auto" w:sz="4" w:space="0"/>
              <w:right w:val="single" w:color="auto" w:sz="4" w:space="0"/>
            </w:tcBorders>
            <w:shd w:val="clear" w:color="auto" w:fill="auto"/>
            <w:vAlign w:val="center"/>
          </w:tcPr>
          <w:p w14:paraId="6456E9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2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2C6E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BC0D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6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4907F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A67D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21DD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2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94C824">
            <w:pPr>
              <w:jc w:val="center"/>
              <w:rPr>
                <w:rFonts w:hint="default" w:ascii="Times New Roman" w:hAnsi="Times New Roman" w:eastAsia="宋体" w:cs="Times New Roman"/>
                <w:i w:val="0"/>
                <w:iCs w:val="0"/>
                <w:color w:val="000000"/>
                <w:sz w:val="18"/>
                <w:szCs w:val="18"/>
                <w:u w:val="none"/>
              </w:rPr>
            </w:pPr>
          </w:p>
        </w:tc>
      </w:tr>
      <w:tr w14:paraId="67B17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EC3B9B">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B7E1FD">
            <w:pPr>
              <w:jc w:val="center"/>
              <w:rPr>
                <w:rFonts w:hint="default" w:ascii="Times New Roman" w:hAnsi="Times New Roman" w:eastAsia="宋体" w:cs="Times New Roman"/>
                <w:i w:val="0"/>
                <w:iCs w:val="0"/>
                <w:color w:val="000000"/>
                <w:sz w:val="18"/>
                <w:szCs w:val="18"/>
                <w:u w:val="none"/>
              </w:rPr>
            </w:pPr>
          </w:p>
        </w:tc>
        <w:tc>
          <w:tcPr>
            <w:tcW w:w="52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62F7D0">
            <w:pPr>
              <w:jc w:val="center"/>
              <w:rPr>
                <w:rFonts w:hint="default" w:ascii="Times New Roman" w:hAnsi="Times New Roman" w:eastAsia="宋体" w:cs="Times New Roman"/>
                <w:i w:val="0"/>
                <w:iCs w:val="0"/>
                <w:color w:val="000000"/>
                <w:sz w:val="18"/>
                <w:szCs w:val="18"/>
                <w:u w:val="none"/>
              </w:rPr>
            </w:pPr>
          </w:p>
        </w:tc>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22D3AF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培训合格率</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4444D9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425" w:type="pct"/>
            <w:tcBorders>
              <w:top w:val="single" w:color="auto" w:sz="4" w:space="0"/>
              <w:left w:val="single" w:color="auto" w:sz="4" w:space="0"/>
              <w:bottom w:val="single" w:color="auto" w:sz="4" w:space="0"/>
              <w:right w:val="single" w:color="auto" w:sz="4" w:space="0"/>
            </w:tcBorders>
            <w:shd w:val="clear" w:color="auto" w:fill="auto"/>
            <w:vAlign w:val="center"/>
          </w:tcPr>
          <w:p w14:paraId="4A7BF2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2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489F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0C34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66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56B9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295C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D844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5C8046">
            <w:pPr>
              <w:jc w:val="center"/>
              <w:rPr>
                <w:rFonts w:hint="default" w:ascii="Times New Roman" w:hAnsi="Times New Roman" w:eastAsia="宋体" w:cs="Times New Roman"/>
                <w:i w:val="0"/>
                <w:iCs w:val="0"/>
                <w:color w:val="000000"/>
                <w:sz w:val="18"/>
                <w:szCs w:val="18"/>
                <w:u w:val="none"/>
              </w:rPr>
            </w:pPr>
          </w:p>
        </w:tc>
      </w:tr>
      <w:tr w14:paraId="7A005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auto" w:sz="4" w:space="0"/>
              <w:left w:val="single" w:color="auto" w:sz="4" w:space="0"/>
              <w:bottom w:val="nil"/>
              <w:right w:val="single" w:color="000000" w:sz="4" w:space="0"/>
            </w:tcBorders>
            <w:shd w:val="clear" w:color="auto" w:fill="auto"/>
            <w:vAlign w:val="center"/>
          </w:tcPr>
          <w:p w14:paraId="19BE577B">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auto" w:sz="4" w:space="0"/>
              <w:left w:val="single" w:color="000000" w:sz="4" w:space="0"/>
              <w:bottom w:val="nil"/>
              <w:right w:val="single" w:color="000000" w:sz="4" w:space="0"/>
            </w:tcBorders>
            <w:shd w:val="clear" w:color="auto" w:fill="auto"/>
            <w:vAlign w:val="center"/>
          </w:tcPr>
          <w:p w14:paraId="3CB10E82">
            <w:pPr>
              <w:jc w:val="center"/>
              <w:rPr>
                <w:rFonts w:hint="default" w:ascii="Times New Roman" w:hAnsi="Times New Roman" w:eastAsia="宋体" w:cs="Times New Roman"/>
                <w:i w:val="0"/>
                <w:iCs w:val="0"/>
                <w:color w:val="000000"/>
                <w:sz w:val="18"/>
                <w:szCs w:val="18"/>
                <w:u w:val="none"/>
              </w:rPr>
            </w:pPr>
          </w:p>
        </w:tc>
        <w:tc>
          <w:tcPr>
            <w:tcW w:w="529" w:type="pct"/>
            <w:vMerge w:val="restart"/>
            <w:tcBorders>
              <w:top w:val="single" w:color="auto" w:sz="4" w:space="0"/>
              <w:left w:val="single" w:color="000000" w:sz="4" w:space="0"/>
              <w:bottom w:val="nil"/>
              <w:right w:val="single" w:color="000000" w:sz="4" w:space="0"/>
            </w:tcBorders>
            <w:shd w:val="clear" w:color="auto" w:fill="auto"/>
            <w:vAlign w:val="center"/>
          </w:tcPr>
          <w:p w14:paraId="08BFDB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469" w:type="pct"/>
            <w:tcBorders>
              <w:top w:val="single" w:color="auto" w:sz="4" w:space="0"/>
              <w:left w:val="single" w:color="000000" w:sz="4" w:space="0"/>
              <w:bottom w:val="nil"/>
              <w:right w:val="single" w:color="000000" w:sz="4" w:space="0"/>
            </w:tcBorders>
            <w:shd w:val="clear" w:color="auto" w:fill="auto"/>
            <w:vAlign w:val="center"/>
          </w:tcPr>
          <w:p w14:paraId="44D372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工作完成时间</w:t>
            </w:r>
          </w:p>
        </w:tc>
        <w:tc>
          <w:tcPr>
            <w:tcW w:w="227" w:type="pct"/>
            <w:tcBorders>
              <w:top w:val="single" w:color="auto" w:sz="4" w:space="0"/>
              <w:left w:val="single" w:color="000000" w:sz="4" w:space="0"/>
              <w:bottom w:val="nil"/>
              <w:right w:val="single" w:color="000000" w:sz="4" w:space="0"/>
            </w:tcBorders>
            <w:shd w:val="clear" w:color="auto" w:fill="auto"/>
            <w:vAlign w:val="center"/>
          </w:tcPr>
          <w:p w14:paraId="6A4001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425" w:type="pct"/>
            <w:tcBorders>
              <w:top w:val="single" w:color="auto" w:sz="4" w:space="0"/>
              <w:left w:val="single" w:color="000000" w:sz="4" w:space="0"/>
              <w:bottom w:val="nil"/>
              <w:right w:val="single" w:color="000000" w:sz="4" w:space="0"/>
            </w:tcBorders>
            <w:shd w:val="clear" w:color="auto" w:fill="auto"/>
            <w:vAlign w:val="center"/>
          </w:tcPr>
          <w:p w14:paraId="0CBDC3A8">
            <w:pPr>
              <w:jc w:val="center"/>
              <w:rPr>
                <w:rFonts w:hint="default" w:ascii="Times New Roman" w:hAnsi="Times New Roman" w:eastAsia="宋体" w:cs="Times New Roman"/>
                <w:i w:val="0"/>
                <w:iCs w:val="0"/>
                <w:color w:val="000000"/>
                <w:sz w:val="18"/>
                <w:szCs w:val="18"/>
                <w:u w:val="none"/>
              </w:rPr>
            </w:pPr>
          </w:p>
        </w:tc>
        <w:tc>
          <w:tcPr>
            <w:tcW w:w="278" w:type="pct"/>
            <w:gridSpan w:val="2"/>
            <w:tcBorders>
              <w:top w:val="single" w:color="auto" w:sz="4" w:space="0"/>
              <w:left w:val="single" w:color="000000" w:sz="4" w:space="0"/>
              <w:bottom w:val="nil"/>
              <w:right w:val="single" w:color="000000" w:sz="4" w:space="0"/>
            </w:tcBorders>
            <w:shd w:val="clear" w:color="auto" w:fill="auto"/>
            <w:vAlign w:val="center"/>
          </w:tcPr>
          <w:p w14:paraId="1DCD2F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年底之前</w:t>
            </w:r>
          </w:p>
        </w:tc>
        <w:tc>
          <w:tcPr>
            <w:tcW w:w="302" w:type="pct"/>
            <w:gridSpan w:val="2"/>
            <w:tcBorders>
              <w:top w:val="single" w:color="auto" w:sz="4" w:space="0"/>
              <w:left w:val="single" w:color="000000" w:sz="4" w:space="0"/>
              <w:bottom w:val="nil"/>
              <w:right w:val="single" w:color="000000" w:sz="4" w:space="0"/>
            </w:tcBorders>
            <w:shd w:val="clear" w:color="auto" w:fill="auto"/>
            <w:vAlign w:val="center"/>
          </w:tcPr>
          <w:p w14:paraId="63DC69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64" w:type="pct"/>
            <w:gridSpan w:val="2"/>
            <w:tcBorders>
              <w:top w:val="single" w:color="auto" w:sz="4" w:space="0"/>
              <w:left w:val="single" w:color="000000" w:sz="4" w:space="0"/>
              <w:bottom w:val="nil"/>
              <w:right w:val="single" w:color="000000" w:sz="4" w:space="0"/>
            </w:tcBorders>
            <w:shd w:val="clear" w:color="auto" w:fill="auto"/>
            <w:vAlign w:val="center"/>
          </w:tcPr>
          <w:p w14:paraId="28C5489A">
            <w:pPr>
              <w:jc w:val="center"/>
              <w:rPr>
                <w:rFonts w:hint="default" w:ascii="Times New Roman" w:hAnsi="Times New Roman" w:eastAsia="宋体" w:cs="Times New Roman"/>
                <w:i w:val="0"/>
                <w:iCs w:val="0"/>
                <w:color w:val="000000"/>
                <w:sz w:val="18"/>
                <w:szCs w:val="18"/>
                <w:u w:val="none"/>
              </w:rPr>
            </w:pPr>
          </w:p>
        </w:tc>
        <w:tc>
          <w:tcPr>
            <w:tcW w:w="397" w:type="pct"/>
            <w:gridSpan w:val="2"/>
            <w:tcBorders>
              <w:top w:val="single" w:color="auto" w:sz="4" w:space="0"/>
              <w:left w:val="single" w:color="000000" w:sz="4" w:space="0"/>
              <w:bottom w:val="nil"/>
              <w:right w:val="single" w:color="000000" w:sz="4" w:space="0"/>
            </w:tcBorders>
            <w:shd w:val="clear" w:color="auto" w:fill="auto"/>
            <w:vAlign w:val="center"/>
          </w:tcPr>
          <w:p w14:paraId="6DC6DB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auto" w:sz="4" w:space="0"/>
              <w:left w:val="single" w:color="000000" w:sz="4" w:space="0"/>
              <w:bottom w:val="nil"/>
              <w:right w:val="single" w:color="000000" w:sz="4" w:space="0"/>
            </w:tcBorders>
            <w:shd w:val="clear" w:color="auto" w:fill="auto"/>
            <w:vAlign w:val="center"/>
          </w:tcPr>
          <w:p w14:paraId="40F19D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auto" w:sz="4" w:space="0"/>
              <w:left w:val="single" w:color="000000" w:sz="4" w:space="0"/>
              <w:bottom w:val="nil"/>
              <w:right w:val="single" w:color="000000" w:sz="4" w:space="0"/>
            </w:tcBorders>
            <w:shd w:val="clear" w:color="auto" w:fill="auto"/>
            <w:vAlign w:val="center"/>
          </w:tcPr>
          <w:p w14:paraId="57C666AA">
            <w:pPr>
              <w:jc w:val="center"/>
              <w:rPr>
                <w:rFonts w:hint="default" w:ascii="Times New Roman" w:hAnsi="Times New Roman" w:eastAsia="宋体" w:cs="Times New Roman"/>
                <w:i w:val="0"/>
                <w:iCs w:val="0"/>
                <w:color w:val="000000"/>
                <w:sz w:val="18"/>
                <w:szCs w:val="18"/>
                <w:u w:val="none"/>
              </w:rPr>
            </w:pPr>
          </w:p>
        </w:tc>
      </w:tr>
      <w:tr w14:paraId="644B7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5B6719EF">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000000" w:sz="4" w:space="0"/>
              <w:left w:val="single" w:color="000000" w:sz="4" w:space="0"/>
              <w:bottom w:val="nil"/>
              <w:right w:val="single" w:color="000000" w:sz="4" w:space="0"/>
            </w:tcBorders>
            <w:shd w:val="clear" w:color="auto" w:fill="auto"/>
            <w:vAlign w:val="center"/>
          </w:tcPr>
          <w:p w14:paraId="0609762A">
            <w:pPr>
              <w:jc w:val="center"/>
              <w:rPr>
                <w:rFonts w:hint="default" w:ascii="Times New Roman" w:hAnsi="Times New Roman" w:eastAsia="宋体" w:cs="Times New Roman"/>
                <w:i w:val="0"/>
                <w:iCs w:val="0"/>
                <w:color w:val="000000"/>
                <w:sz w:val="18"/>
                <w:szCs w:val="18"/>
                <w:u w:val="none"/>
              </w:rPr>
            </w:pPr>
          </w:p>
        </w:tc>
        <w:tc>
          <w:tcPr>
            <w:tcW w:w="529" w:type="pct"/>
            <w:vMerge w:val="continue"/>
            <w:tcBorders>
              <w:top w:val="single" w:color="000000" w:sz="4" w:space="0"/>
              <w:left w:val="single" w:color="000000" w:sz="4" w:space="0"/>
              <w:bottom w:val="nil"/>
              <w:right w:val="single" w:color="000000" w:sz="4" w:space="0"/>
            </w:tcBorders>
            <w:shd w:val="clear" w:color="auto" w:fill="auto"/>
            <w:vAlign w:val="center"/>
          </w:tcPr>
          <w:p w14:paraId="157678F2">
            <w:pPr>
              <w:jc w:val="center"/>
              <w:rPr>
                <w:rFonts w:hint="default" w:ascii="Times New Roman" w:hAnsi="Times New Roman" w:eastAsia="宋体" w:cs="Times New Roman"/>
                <w:i w:val="0"/>
                <w:iCs w:val="0"/>
                <w:color w:val="000000"/>
                <w:sz w:val="18"/>
                <w:szCs w:val="18"/>
                <w:u w:val="none"/>
              </w:rPr>
            </w:pPr>
          </w:p>
        </w:tc>
        <w:tc>
          <w:tcPr>
            <w:tcW w:w="469" w:type="pct"/>
            <w:tcBorders>
              <w:top w:val="single" w:color="000000" w:sz="4" w:space="0"/>
              <w:left w:val="single" w:color="000000" w:sz="4" w:space="0"/>
              <w:bottom w:val="nil"/>
              <w:right w:val="single" w:color="000000" w:sz="4" w:space="0"/>
            </w:tcBorders>
            <w:shd w:val="clear" w:color="auto" w:fill="auto"/>
            <w:vAlign w:val="center"/>
          </w:tcPr>
          <w:p w14:paraId="0349FE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案件办结完成时间</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616926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425" w:type="pct"/>
            <w:tcBorders>
              <w:top w:val="single" w:color="000000" w:sz="4" w:space="0"/>
              <w:left w:val="single" w:color="000000" w:sz="4" w:space="0"/>
              <w:bottom w:val="nil"/>
              <w:right w:val="single" w:color="000000" w:sz="4" w:space="0"/>
            </w:tcBorders>
            <w:shd w:val="clear" w:color="auto" w:fill="auto"/>
            <w:vAlign w:val="center"/>
          </w:tcPr>
          <w:p w14:paraId="407CDF4C">
            <w:pPr>
              <w:jc w:val="center"/>
              <w:rPr>
                <w:rFonts w:hint="default" w:ascii="Times New Roman" w:hAnsi="Times New Roman" w:eastAsia="宋体" w:cs="Times New Roman"/>
                <w:i w:val="0"/>
                <w:iCs w:val="0"/>
                <w:color w:val="000000"/>
                <w:sz w:val="18"/>
                <w:szCs w:val="18"/>
                <w:u w:val="none"/>
              </w:rPr>
            </w:pPr>
          </w:p>
        </w:tc>
        <w:tc>
          <w:tcPr>
            <w:tcW w:w="278" w:type="pct"/>
            <w:gridSpan w:val="2"/>
            <w:tcBorders>
              <w:top w:val="single" w:color="000000" w:sz="4" w:space="0"/>
              <w:left w:val="single" w:color="000000" w:sz="4" w:space="0"/>
              <w:bottom w:val="nil"/>
              <w:right w:val="single" w:color="000000" w:sz="4" w:space="0"/>
            </w:tcBorders>
            <w:shd w:val="clear" w:color="auto" w:fill="auto"/>
            <w:vAlign w:val="center"/>
          </w:tcPr>
          <w:p w14:paraId="20E3CB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年底之前</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532ABB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64" w:type="pct"/>
            <w:gridSpan w:val="2"/>
            <w:tcBorders>
              <w:top w:val="single" w:color="000000" w:sz="4" w:space="0"/>
              <w:left w:val="single" w:color="000000" w:sz="4" w:space="0"/>
              <w:bottom w:val="nil"/>
              <w:right w:val="single" w:color="000000" w:sz="4" w:space="0"/>
            </w:tcBorders>
            <w:shd w:val="clear" w:color="auto" w:fill="auto"/>
            <w:vAlign w:val="center"/>
          </w:tcPr>
          <w:p w14:paraId="5D34DD89">
            <w:pPr>
              <w:jc w:val="center"/>
              <w:rPr>
                <w:rFonts w:hint="default" w:ascii="Times New Roman" w:hAnsi="Times New Roman" w:eastAsia="宋体" w:cs="Times New Roman"/>
                <w:i w:val="0"/>
                <w:iCs w:val="0"/>
                <w:color w:val="000000"/>
                <w:sz w:val="18"/>
                <w:szCs w:val="18"/>
                <w:u w:val="none"/>
              </w:rPr>
            </w:pP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27C7DB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4E5810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2C581DE0">
            <w:pPr>
              <w:jc w:val="center"/>
              <w:rPr>
                <w:rFonts w:hint="default" w:ascii="Times New Roman" w:hAnsi="Times New Roman" w:eastAsia="宋体" w:cs="Times New Roman"/>
                <w:i w:val="0"/>
                <w:iCs w:val="0"/>
                <w:color w:val="000000"/>
                <w:sz w:val="18"/>
                <w:szCs w:val="18"/>
                <w:u w:val="none"/>
              </w:rPr>
            </w:pPr>
          </w:p>
        </w:tc>
      </w:tr>
      <w:tr w14:paraId="2CB9A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0041A535">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000000" w:sz="4" w:space="0"/>
              <w:left w:val="single" w:color="000000" w:sz="4" w:space="0"/>
              <w:bottom w:val="nil"/>
              <w:right w:val="single" w:color="000000" w:sz="4" w:space="0"/>
            </w:tcBorders>
            <w:shd w:val="clear" w:color="auto" w:fill="auto"/>
            <w:vAlign w:val="center"/>
          </w:tcPr>
          <w:p w14:paraId="37FE3DE2">
            <w:pPr>
              <w:jc w:val="center"/>
              <w:rPr>
                <w:rFonts w:hint="default" w:ascii="Times New Roman" w:hAnsi="Times New Roman" w:eastAsia="宋体" w:cs="Times New Roman"/>
                <w:i w:val="0"/>
                <w:iCs w:val="0"/>
                <w:color w:val="000000"/>
                <w:sz w:val="18"/>
                <w:szCs w:val="18"/>
                <w:u w:val="none"/>
              </w:rPr>
            </w:pPr>
          </w:p>
        </w:tc>
        <w:tc>
          <w:tcPr>
            <w:tcW w:w="529" w:type="pct"/>
            <w:vMerge w:val="restart"/>
            <w:tcBorders>
              <w:top w:val="single" w:color="000000" w:sz="4" w:space="0"/>
              <w:left w:val="single" w:color="000000" w:sz="4" w:space="0"/>
              <w:bottom w:val="nil"/>
              <w:right w:val="single" w:color="000000" w:sz="4" w:space="0"/>
            </w:tcBorders>
            <w:shd w:val="clear" w:color="auto" w:fill="auto"/>
            <w:vAlign w:val="center"/>
          </w:tcPr>
          <w:p w14:paraId="09C1EE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69" w:type="pct"/>
            <w:tcBorders>
              <w:top w:val="single" w:color="000000" w:sz="4" w:space="0"/>
              <w:left w:val="single" w:color="000000" w:sz="4" w:space="0"/>
              <w:bottom w:val="nil"/>
              <w:right w:val="single" w:color="000000" w:sz="4" w:space="0"/>
            </w:tcBorders>
            <w:shd w:val="clear" w:color="auto" w:fill="auto"/>
            <w:vAlign w:val="center"/>
          </w:tcPr>
          <w:p w14:paraId="270771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业主培训成本</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1FADA5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反向</w:t>
            </w:r>
          </w:p>
        </w:tc>
        <w:tc>
          <w:tcPr>
            <w:tcW w:w="425" w:type="pct"/>
            <w:tcBorders>
              <w:top w:val="single" w:color="000000" w:sz="4" w:space="0"/>
              <w:left w:val="single" w:color="000000" w:sz="4" w:space="0"/>
              <w:bottom w:val="nil"/>
              <w:right w:val="single" w:color="000000" w:sz="4" w:space="0"/>
            </w:tcBorders>
            <w:shd w:val="clear" w:color="auto" w:fill="auto"/>
            <w:vAlign w:val="center"/>
          </w:tcPr>
          <w:p w14:paraId="66AC7A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小于等于</w:t>
            </w:r>
          </w:p>
        </w:tc>
        <w:tc>
          <w:tcPr>
            <w:tcW w:w="278" w:type="pct"/>
            <w:gridSpan w:val="2"/>
            <w:tcBorders>
              <w:top w:val="single" w:color="000000" w:sz="4" w:space="0"/>
              <w:left w:val="single" w:color="000000" w:sz="4" w:space="0"/>
              <w:bottom w:val="nil"/>
              <w:right w:val="single" w:color="000000" w:sz="4" w:space="0"/>
            </w:tcBorders>
            <w:shd w:val="clear" w:color="auto" w:fill="auto"/>
            <w:vAlign w:val="center"/>
          </w:tcPr>
          <w:p w14:paraId="40F18A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382BB1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64" w:type="pct"/>
            <w:gridSpan w:val="2"/>
            <w:tcBorders>
              <w:top w:val="single" w:color="000000" w:sz="4" w:space="0"/>
              <w:left w:val="single" w:color="000000" w:sz="4" w:space="0"/>
              <w:bottom w:val="nil"/>
              <w:right w:val="single" w:color="000000" w:sz="4" w:space="0"/>
            </w:tcBorders>
            <w:shd w:val="clear" w:color="auto" w:fill="auto"/>
            <w:vAlign w:val="center"/>
          </w:tcPr>
          <w:p w14:paraId="0BA305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元/次</w:t>
            </w: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33A57D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593DA3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27B3E280">
            <w:pPr>
              <w:jc w:val="center"/>
              <w:rPr>
                <w:rFonts w:hint="default" w:ascii="Times New Roman" w:hAnsi="Times New Roman" w:eastAsia="宋体" w:cs="Times New Roman"/>
                <w:i w:val="0"/>
                <w:iCs w:val="0"/>
                <w:color w:val="000000"/>
                <w:sz w:val="18"/>
                <w:szCs w:val="18"/>
                <w:u w:val="none"/>
              </w:rPr>
            </w:pPr>
          </w:p>
        </w:tc>
      </w:tr>
      <w:tr w14:paraId="35390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1B87A75F">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000000" w:sz="4" w:space="0"/>
              <w:left w:val="single" w:color="000000" w:sz="4" w:space="0"/>
              <w:bottom w:val="nil"/>
              <w:right w:val="single" w:color="000000" w:sz="4" w:space="0"/>
            </w:tcBorders>
            <w:shd w:val="clear" w:color="auto" w:fill="auto"/>
            <w:vAlign w:val="center"/>
          </w:tcPr>
          <w:p w14:paraId="7584562A">
            <w:pPr>
              <w:jc w:val="center"/>
              <w:rPr>
                <w:rFonts w:hint="default" w:ascii="Times New Roman" w:hAnsi="Times New Roman" w:eastAsia="宋体" w:cs="Times New Roman"/>
                <w:i w:val="0"/>
                <w:iCs w:val="0"/>
                <w:color w:val="000000"/>
                <w:sz w:val="18"/>
                <w:szCs w:val="18"/>
                <w:u w:val="none"/>
              </w:rPr>
            </w:pPr>
          </w:p>
        </w:tc>
        <w:tc>
          <w:tcPr>
            <w:tcW w:w="529" w:type="pct"/>
            <w:vMerge w:val="continue"/>
            <w:tcBorders>
              <w:top w:val="single" w:color="000000" w:sz="4" w:space="0"/>
              <w:left w:val="single" w:color="000000" w:sz="4" w:space="0"/>
              <w:bottom w:val="nil"/>
              <w:right w:val="single" w:color="000000" w:sz="4" w:space="0"/>
            </w:tcBorders>
            <w:shd w:val="clear" w:color="auto" w:fill="auto"/>
            <w:vAlign w:val="center"/>
          </w:tcPr>
          <w:p w14:paraId="70011746">
            <w:pPr>
              <w:jc w:val="center"/>
              <w:rPr>
                <w:rFonts w:hint="default" w:ascii="Times New Roman" w:hAnsi="Times New Roman" w:eastAsia="宋体" w:cs="Times New Roman"/>
                <w:i w:val="0"/>
                <w:iCs w:val="0"/>
                <w:color w:val="000000"/>
                <w:sz w:val="18"/>
                <w:szCs w:val="18"/>
                <w:u w:val="none"/>
              </w:rPr>
            </w:pPr>
          </w:p>
        </w:tc>
        <w:tc>
          <w:tcPr>
            <w:tcW w:w="469" w:type="pct"/>
            <w:tcBorders>
              <w:top w:val="single" w:color="000000" w:sz="4" w:space="0"/>
              <w:left w:val="single" w:color="000000" w:sz="4" w:space="0"/>
              <w:bottom w:val="nil"/>
              <w:right w:val="single" w:color="000000" w:sz="4" w:space="0"/>
            </w:tcBorders>
            <w:shd w:val="clear" w:color="auto" w:fill="auto"/>
            <w:vAlign w:val="center"/>
          </w:tcPr>
          <w:p w14:paraId="6B41F0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执法人员外出培训成本</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6C7B91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425" w:type="pct"/>
            <w:tcBorders>
              <w:top w:val="single" w:color="000000" w:sz="4" w:space="0"/>
              <w:left w:val="single" w:color="000000" w:sz="4" w:space="0"/>
              <w:bottom w:val="nil"/>
              <w:right w:val="single" w:color="000000" w:sz="4" w:space="0"/>
            </w:tcBorders>
            <w:shd w:val="clear" w:color="auto" w:fill="auto"/>
            <w:vAlign w:val="center"/>
          </w:tcPr>
          <w:p w14:paraId="4B75D0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278" w:type="pct"/>
            <w:gridSpan w:val="2"/>
            <w:tcBorders>
              <w:top w:val="single" w:color="000000" w:sz="4" w:space="0"/>
              <w:left w:val="single" w:color="000000" w:sz="4" w:space="0"/>
              <w:bottom w:val="nil"/>
              <w:right w:val="single" w:color="000000" w:sz="4" w:space="0"/>
            </w:tcBorders>
            <w:shd w:val="clear" w:color="auto" w:fill="auto"/>
            <w:vAlign w:val="center"/>
          </w:tcPr>
          <w:p w14:paraId="4B6B18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4000</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2E87E0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4000</w:t>
            </w:r>
          </w:p>
        </w:tc>
        <w:tc>
          <w:tcPr>
            <w:tcW w:w="664" w:type="pct"/>
            <w:gridSpan w:val="2"/>
            <w:tcBorders>
              <w:top w:val="single" w:color="000000" w:sz="4" w:space="0"/>
              <w:left w:val="single" w:color="000000" w:sz="4" w:space="0"/>
              <w:bottom w:val="nil"/>
              <w:right w:val="single" w:color="000000" w:sz="4" w:space="0"/>
            </w:tcBorders>
            <w:shd w:val="clear" w:color="auto" w:fill="auto"/>
            <w:vAlign w:val="center"/>
          </w:tcPr>
          <w:p w14:paraId="1221EA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人/次</w:t>
            </w: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592F74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4BA58B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6B617239">
            <w:pPr>
              <w:jc w:val="center"/>
              <w:rPr>
                <w:rFonts w:hint="default" w:ascii="Times New Roman" w:hAnsi="Times New Roman" w:eastAsia="宋体" w:cs="Times New Roman"/>
                <w:i w:val="0"/>
                <w:iCs w:val="0"/>
                <w:color w:val="000000"/>
                <w:sz w:val="18"/>
                <w:szCs w:val="18"/>
                <w:u w:val="none"/>
              </w:rPr>
            </w:pPr>
          </w:p>
        </w:tc>
      </w:tr>
      <w:tr w14:paraId="17BC7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6A1990F2">
            <w:pPr>
              <w:jc w:val="center"/>
              <w:rPr>
                <w:rFonts w:hint="default" w:ascii="Times New Roman" w:hAnsi="Times New Roman" w:eastAsia="宋体" w:cs="Times New Roman"/>
                <w:i w:val="0"/>
                <w:iCs w:val="0"/>
                <w:color w:val="000000"/>
                <w:sz w:val="18"/>
                <w:szCs w:val="18"/>
                <w:u w:val="none"/>
              </w:rPr>
            </w:pPr>
          </w:p>
        </w:tc>
        <w:tc>
          <w:tcPr>
            <w:tcW w:w="431" w:type="pct"/>
            <w:vMerge w:val="restart"/>
            <w:tcBorders>
              <w:top w:val="single" w:color="000000" w:sz="4" w:space="0"/>
              <w:left w:val="single" w:color="000000" w:sz="4" w:space="0"/>
              <w:bottom w:val="nil"/>
              <w:right w:val="single" w:color="000000" w:sz="4" w:space="0"/>
            </w:tcBorders>
            <w:shd w:val="clear" w:color="auto" w:fill="auto"/>
            <w:vAlign w:val="center"/>
          </w:tcPr>
          <w:p w14:paraId="01D01F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29" w:type="pct"/>
            <w:vMerge w:val="restart"/>
            <w:tcBorders>
              <w:top w:val="single" w:color="000000" w:sz="4" w:space="0"/>
              <w:left w:val="single" w:color="000000" w:sz="4" w:space="0"/>
              <w:bottom w:val="nil"/>
              <w:right w:val="single" w:color="000000" w:sz="4" w:space="0"/>
            </w:tcBorders>
            <w:shd w:val="clear" w:color="auto" w:fill="auto"/>
            <w:vAlign w:val="center"/>
          </w:tcPr>
          <w:p w14:paraId="483555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w:t>
            </w:r>
          </w:p>
        </w:tc>
        <w:tc>
          <w:tcPr>
            <w:tcW w:w="469" w:type="pct"/>
            <w:tcBorders>
              <w:top w:val="single" w:color="000000" w:sz="4" w:space="0"/>
              <w:left w:val="single" w:color="000000" w:sz="4" w:space="0"/>
              <w:bottom w:val="nil"/>
              <w:right w:val="single" w:color="000000" w:sz="4" w:space="0"/>
            </w:tcBorders>
            <w:shd w:val="clear" w:color="auto" w:fill="auto"/>
            <w:vAlign w:val="center"/>
          </w:tcPr>
          <w:p w14:paraId="2A6972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执法人员业务水平</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5A04FF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425" w:type="pct"/>
            <w:tcBorders>
              <w:top w:val="single" w:color="000000" w:sz="4" w:space="0"/>
              <w:left w:val="single" w:color="000000" w:sz="4" w:space="0"/>
              <w:bottom w:val="nil"/>
              <w:right w:val="single" w:color="000000" w:sz="4" w:space="0"/>
            </w:tcBorders>
            <w:shd w:val="clear" w:color="auto" w:fill="auto"/>
            <w:vAlign w:val="center"/>
          </w:tcPr>
          <w:p w14:paraId="5162992F">
            <w:pPr>
              <w:jc w:val="center"/>
              <w:rPr>
                <w:rFonts w:hint="default" w:ascii="Times New Roman" w:hAnsi="Times New Roman" w:eastAsia="宋体" w:cs="Times New Roman"/>
                <w:i w:val="0"/>
                <w:iCs w:val="0"/>
                <w:color w:val="000000"/>
                <w:sz w:val="18"/>
                <w:szCs w:val="18"/>
                <w:u w:val="none"/>
              </w:rPr>
            </w:pPr>
          </w:p>
        </w:tc>
        <w:tc>
          <w:tcPr>
            <w:tcW w:w="278" w:type="pct"/>
            <w:gridSpan w:val="2"/>
            <w:tcBorders>
              <w:top w:val="single" w:color="000000" w:sz="4" w:space="0"/>
              <w:left w:val="single" w:color="000000" w:sz="4" w:space="0"/>
              <w:bottom w:val="nil"/>
              <w:right w:val="single" w:color="000000" w:sz="4" w:space="0"/>
            </w:tcBorders>
            <w:shd w:val="clear" w:color="auto" w:fill="auto"/>
            <w:vAlign w:val="center"/>
          </w:tcPr>
          <w:p w14:paraId="321BC1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有效提高</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31DB67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664" w:type="pct"/>
            <w:gridSpan w:val="2"/>
            <w:tcBorders>
              <w:top w:val="single" w:color="000000" w:sz="4" w:space="0"/>
              <w:left w:val="single" w:color="000000" w:sz="4" w:space="0"/>
              <w:bottom w:val="nil"/>
              <w:right w:val="single" w:color="000000" w:sz="4" w:space="0"/>
            </w:tcBorders>
            <w:shd w:val="clear" w:color="auto" w:fill="auto"/>
            <w:vAlign w:val="center"/>
          </w:tcPr>
          <w:p w14:paraId="6C1B3973">
            <w:pPr>
              <w:jc w:val="center"/>
              <w:rPr>
                <w:rFonts w:hint="default" w:ascii="Times New Roman" w:hAnsi="Times New Roman" w:eastAsia="宋体" w:cs="Times New Roman"/>
                <w:i w:val="0"/>
                <w:iCs w:val="0"/>
                <w:color w:val="000000"/>
                <w:sz w:val="18"/>
                <w:szCs w:val="18"/>
                <w:u w:val="none"/>
              </w:rPr>
            </w:pP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7503A1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7E3860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5BC352FC">
            <w:pPr>
              <w:jc w:val="center"/>
              <w:rPr>
                <w:rFonts w:hint="default" w:ascii="Times New Roman" w:hAnsi="Times New Roman" w:eastAsia="宋体" w:cs="Times New Roman"/>
                <w:i w:val="0"/>
                <w:iCs w:val="0"/>
                <w:color w:val="000000"/>
                <w:sz w:val="18"/>
                <w:szCs w:val="18"/>
                <w:u w:val="none"/>
              </w:rPr>
            </w:pPr>
          </w:p>
        </w:tc>
      </w:tr>
      <w:tr w14:paraId="448EC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0D0886B1">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000000" w:sz="4" w:space="0"/>
              <w:left w:val="single" w:color="000000" w:sz="4" w:space="0"/>
              <w:bottom w:val="nil"/>
              <w:right w:val="single" w:color="000000" w:sz="4" w:space="0"/>
            </w:tcBorders>
            <w:shd w:val="clear" w:color="auto" w:fill="auto"/>
            <w:vAlign w:val="center"/>
          </w:tcPr>
          <w:p w14:paraId="5B74E0AA">
            <w:pPr>
              <w:jc w:val="center"/>
              <w:rPr>
                <w:rFonts w:hint="default" w:ascii="Times New Roman" w:hAnsi="Times New Roman" w:eastAsia="宋体" w:cs="Times New Roman"/>
                <w:i w:val="0"/>
                <w:iCs w:val="0"/>
                <w:color w:val="000000"/>
                <w:sz w:val="18"/>
                <w:szCs w:val="18"/>
                <w:u w:val="none"/>
              </w:rPr>
            </w:pPr>
          </w:p>
        </w:tc>
        <w:tc>
          <w:tcPr>
            <w:tcW w:w="529" w:type="pct"/>
            <w:vMerge w:val="continue"/>
            <w:tcBorders>
              <w:top w:val="single" w:color="000000" w:sz="4" w:space="0"/>
              <w:left w:val="single" w:color="000000" w:sz="4" w:space="0"/>
              <w:bottom w:val="nil"/>
              <w:right w:val="single" w:color="000000" w:sz="4" w:space="0"/>
            </w:tcBorders>
            <w:shd w:val="clear" w:color="auto" w:fill="auto"/>
            <w:vAlign w:val="center"/>
          </w:tcPr>
          <w:p w14:paraId="4BCE7CB1">
            <w:pPr>
              <w:jc w:val="center"/>
              <w:rPr>
                <w:rFonts w:hint="default" w:ascii="Times New Roman" w:hAnsi="Times New Roman" w:eastAsia="宋体" w:cs="Times New Roman"/>
                <w:i w:val="0"/>
                <w:iCs w:val="0"/>
                <w:color w:val="000000"/>
                <w:sz w:val="18"/>
                <w:szCs w:val="18"/>
                <w:u w:val="none"/>
              </w:rPr>
            </w:pPr>
          </w:p>
        </w:tc>
        <w:tc>
          <w:tcPr>
            <w:tcW w:w="469" w:type="pct"/>
            <w:tcBorders>
              <w:top w:val="single" w:color="000000" w:sz="4" w:space="0"/>
              <w:left w:val="single" w:color="000000" w:sz="4" w:space="0"/>
              <w:bottom w:val="nil"/>
              <w:right w:val="single" w:color="000000" w:sz="4" w:space="0"/>
            </w:tcBorders>
            <w:shd w:val="clear" w:color="auto" w:fill="auto"/>
            <w:vAlign w:val="center"/>
          </w:tcPr>
          <w:p w14:paraId="6C831B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业主法律知识</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4E1275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425" w:type="pct"/>
            <w:tcBorders>
              <w:top w:val="single" w:color="000000" w:sz="4" w:space="0"/>
              <w:left w:val="single" w:color="000000" w:sz="4" w:space="0"/>
              <w:bottom w:val="nil"/>
              <w:right w:val="single" w:color="000000" w:sz="4" w:space="0"/>
            </w:tcBorders>
            <w:shd w:val="clear" w:color="auto" w:fill="auto"/>
            <w:vAlign w:val="center"/>
          </w:tcPr>
          <w:p w14:paraId="7475E26C">
            <w:pPr>
              <w:jc w:val="center"/>
              <w:rPr>
                <w:rFonts w:hint="default" w:ascii="Times New Roman" w:hAnsi="Times New Roman" w:eastAsia="宋体" w:cs="Times New Roman"/>
                <w:i w:val="0"/>
                <w:iCs w:val="0"/>
                <w:color w:val="000000"/>
                <w:sz w:val="18"/>
                <w:szCs w:val="18"/>
                <w:u w:val="none"/>
              </w:rPr>
            </w:pPr>
          </w:p>
        </w:tc>
        <w:tc>
          <w:tcPr>
            <w:tcW w:w="278" w:type="pct"/>
            <w:gridSpan w:val="2"/>
            <w:tcBorders>
              <w:top w:val="single" w:color="000000" w:sz="4" w:space="0"/>
              <w:left w:val="single" w:color="000000" w:sz="4" w:space="0"/>
              <w:bottom w:val="nil"/>
              <w:right w:val="single" w:color="000000" w:sz="4" w:space="0"/>
            </w:tcBorders>
            <w:shd w:val="clear" w:color="auto" w:fill="auto"/>
            <w:vAlign w:val="center"/>
          </w:tcPr>
          <w:p w14:paraId="7D8B2D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有效提高</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67B30E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664" w:type="pct"/>
            <w:gridSpan w:val="2"/>
            <w:tcBorders>
              <w:top w:val="single" w:color="000000" w:sz="4" w:space="0"/>
              <w:left w:val="single" w:color="000000" w:sz="4" w:space="0"/>
              <w:bottom w:val="nil"/>
              <w:right w:val="single" w:color="000000" w:sz="4" w:space="0"/>
            </w:tcBorders>
            <w:shd w:val="clear" w:color="auto" w:fill="auto"/>
            <w:vAlign w:val="center"/>
          </w:tcPr>
          <w:p w14:paraId="1DC87726">
            <w:pPr>
              <w:jc w:val="center"/>
              <w:rPr>
                <w:rFonts w:hint="default" w:ascii="Times New Roman" w:hAnsi="Times New Roman" w:eastAsia="宋体" w:cs="Times New Roman"/>
                <w:i w:val="0"/>
                <w:iCs w:val="0"/>
                <w:color w:val="000000"/>
                <w:sz w:val="18"/>
                <w:szCs w:val="18"/>
                <w:u w:val="none"/>
              </w:rPr>
            </w:pP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7111B9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08BABF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3A7C48EA">
            <w:pPr>
              <w:jc w:val="center"/>
              <w:rPr>
                <w:rFonts w:hint="default" w:ascii="Times New Roman" w:hAnsi="Times New Roman" w:eastAsia="宋体" w:cs="Times New Roman"/>
                <w:i w:val="0"/>
                <w:iCs w:val="0"/>
                <w:color w:val="000000"/>
                <w:sz w:val="18"/>
                <w:szCs w:val="18"/>
                <w:u w:val="none"/>
              </w:rPr>
            </w:pPr>
          </w:p>
        </w:tc>
      </w:tr>
      <w:tr w14:paraId="1FEC6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4ECF8BF6">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000000" w:sz="4" w:space="0"/>
              <w:left w:val="single" w:color="000000" w:sz="4" w:space="0"/>
              <w:bottom w:val="nil"/>
              <w:right w:val="single" w:color="000000" w:sz="4" w:space="0"/>
            </w:tcBorders>
            <w:shd w:val="clear" w:color="auto" w:fill="auto"/>
            <w:vAlign w:val="center"/>
          </w:tcPr>
          <w:p w14:paraId="4C747199">
            <w:pPr>
              <w:jc w:val="center"/>
              <w:rPr>
                <w:rFonts w:hint="default" w:ascii="Times New Roman" w:hAnsi="Times New Roman" w:eastAsia="宋体" w:cs="Times New Roman"/>
                <w:i w:val="0"/>
                <w:iCs w:val="0"/>
                <w:color w:val="000000"/>
                <w:sz w:val="18"/>
                <w:szCs w:val="18"/>
                <w:u w:val="none"/>
              </w:rPr>
            </w:pPr>
          </w:p>
        </w:tc>
        <w:tc>
          <w:tcPr>
            <w:tcW w:w="529" w:type="pct"/>
            <w:tcBorders>
              <w:top w:val="single" w:color="000000" w:sz="4" w:space="0"/>
              <w:left w:val="single" w:color="000000" w:sz="4" w:space="0"/>
              <w:bottom w:val="nil"/>
              <w:right w:val="single" w:color="000000" w:sz="4" w:space="0"/>
            </w:tcBorders>
            <w:shd w:val="clear" w:color="auto" w:fill="auto"/>
            <w:vAlign w:val="center"/>
          </w:tcPr>
          <w:p w14:paraId="5F43C4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w:t>
            </w:r>
          </w:p>
        </w:tc>
        <w:tc>
          <w:tcPr>
            <w:tcW w:w="469" w:type="pct"/>
            <w:tcBorders>
              <w:top w:val="single" w:color="000000" w:sz="4" w:space="0"/>
              <w:left w:val="single" w:color="000000" w:sz="4" w:space="0"/>
              <w:bottom w:val="nil"/>
              <w:right w:val="single" w:color="000000" w:sz="4" w:space="0"/>
            </w:tcBorders>
            <w:shd w:val="clear" w:color="auto" w:fill="auto"/>
            <w:vAlign w:val="center"/>
          </w:tcPr>
          <w:p w14:paraId="612626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项目持续发挥作用的期限</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016669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425" w:type="pct"/>
            <w:tcBorders>
              <w:top w:val="single" w:color="000000" w:sz="4" w:space="0"/>
              <w:left w:val="single" w:color="000000" w:sz="4" w:space="0"/>
              <w:bottom w:val="nil"/>
              <w:right w:val="single" w:color="000000" w:sz="4" w:space="0"/>
            </w:tcBorders>
            <w:shd w:val="clear" w:color="auto" w:fill="auto"/>
            <w:vAlign w:val="center"/>
          </w:tcPr>
          <w:p w14:paraId="16D555A4">
            <w:pPr>
              <w:jc w:val="center"/>
              <w:rPr>
                <w:rFonts w:hint="default" w:ascii="Times New Roman" w:hAnsi="Times New Roman" w:eastAsia="宋体" w:cs="Times New Roman"/>
                <w:i w:val="0"/>
                <w:iCs w:val="0"/>
                <w:color w:val="000000"/>
                <w:sz w:val="18"/>
                <w:szCs w:val="18"/>
                <w:u w:val="none"/>
              </w:rPr>
            </w:pPr>
          </w:p>
        </w:tc>
        <w:tc>
          <w:tcPr>
            <w:tcW w:w="278" w:type="pct"/>
            <w:gridSpan w:val="2"/>
            <w:tcBorders>
              <w:top w:val="single" w:color="000000" w:sz="4" w:space="0"/>
              <w:left w:val="single" w:color="000000" w:sz="4" w:space="0"/>
              <w:bottom w:val="nil"/>
              <w:right w:val="single" w:color="000000" w:sz="4" w:space="0"/>
            </w:tcBorders>
            <w:shd w:val="clear" w:color="auto" w:fill="auto"/>
            <w:vAlign w:val="center"/>
          </w:tcPr>
          <w:p w14:paraId="198C26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长期</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747588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664" w:type="pct"/>
            <w:gridSpan w:val="2"/>
            <w:tcBorders>
              <w:top w:val="single" w:color="000000" w:sz="4" w:space="0"/>
              <w:left w:val="single" w:color="000000" w:sz="4" w:space="0"/>
              <w:bottom w:val="nil"/>
              <w:right w:val="single" w:color="000000" w:sz="4" w:space="0"/>
            </w:tcBorders>
            <w:shd w:val="clear" w:color="auto" w:fill="auto"/>
            <w:vAlign w:val="center"/>
          </w:tcPr>
          <w:p w14:paraId="7039CC29">
            <w:pPr>
              <w:jc w:val="center"/>
              <w:rPr>
                <w:rFonts w:hint="default" w:ascii="Times New Roman" w:hAnsi="Times New Roman" w:eastAsia="宋体" w:cs="Times New Roman"/>
                <w:i w:val="0"/>
                <w:iCs w:val="0"/>
                <w:color w:val="000000"/>
                <w:sz w:val="18"/>
                <w:szCs w:val="18"/>
                <w:u w:val="none"/>
              </w:rPr>
            </w:pP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7B4925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06435D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2133947F">
            <w:pPr>
              <w:jc w:val="center"/>
              <w:rPr>
                <w:rFonts w:hint="default" w:ascii="Times New Roman" w:hAnsi="Times New Roman" w:eastAsia="宋体" w:cs="Times New Roman"/>
                <w:i w:val="0"/>
                <w:iCs w:val="0"/>
                <w:color w:val="000000"/>
                <w:sz w:val="18"/>
                <w:szCs w:val="18"/>
                <w:u w:val="none"/>
              </w:rPr>
            </w:pPr>
          </w:p>
        </w:tc>
      </w:tr>
      <w:tr w14:paraId="6CD97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5A7FB94E">
            <w:pPr>
              <w:jc w:val="center"/>
              <w:rPr>
                <w:rFonts w:hint="default" w:ascii="Times New Roman" w:hAnsi="Times New Roman" w:eastAsia="宋体" w:cs="Times New Roman"/>
                <w:i w:val="0"/>
                <w:iCs w:val="0"/>
                <w:color w:val="000000"/>
                <w:sz w:val="18"/>
                <w:szCs w:val="18"/>
                <w:u w:val="none"/>
              </w:rPr>
            </w:pPr>
          </w:p>
        </w:tc>
        <w:tc>
          <w:tcPr>
            <w:tcW w:w="431" w:type="pct"/>
            <w:tcBorders>
              <w:top w:val="single" w:color="000000" w:sz="4" w:space="0"/>
              <w:left w:val="single" w:color="000000" w:sz="4" w:space="0"/>
              <w:bottom w:val="nil"/>
              <w:right w:val="single" w:color="000000" w:sz="4" w:space="0"/>
            </w:tcBorders>
            <w:shd w:val="clear" w:color="auto" w:fill="auto"/>
            <w:vAlign w:val="center"/>
          </w:tcPr>
          <w:p w14:paraId="63D2F1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29" w:type="pct"/>
            <w:tcBorders>
              <w:top w:val="single" w:color="000000" w:sz="4" w:space="0"/>
              <w:left w:val="single" w:color="000000" w:sz="4" w:space="0"/>
              <w:bottom w:val="nil"/>
              <w:right w:val="single" w:color="000000" w:sz="4" w:space="0"/>
            </w:tcBorders>
            <w:shd w:val="clear" w:color="auto" w:fill="auto"/>
            <w:vAlign w:val="center"/>
          </w:tcPr>
          <w:p w14:paraId="546C9A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w:t>
            </w:r>
          </w:p>
        </w:tc>
        <w:tc>
          <w:tcPr>
            <w:tcW w:w="469" w:type="pct"/>
            <w:tcBorders>
              <w:top w:val="single" w:color="000000" w:sz="4" w:space="0"/>
              <w:left w:val="single" w:color="000000" w:sz="4" w:space="0"/>
              <w:bottom w:val="nil"/>
              <w:right w:val="single" w:color="000000" w:sz="4" w:space="0"/>
            </w:tcBorders>
            <w:shd w:val="clear" w:color="auto" w:fill="auto"/>
            <w:vAlign w:val="center"/>
          </w:tcPr>
          <w:p w14:paraId="67473B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业主满意度</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2B5072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425" w:type="pct"/>
            <w:tcBorders>
              <w:top w:val="single" w:color="000000" w:sz="4" w:space="0"/>
              <w:left w:val="single" w:color="000000" w:sz="4" w:space="0"/>
              <w:bottom w:val="nil"/>
              <w:right w:val="single" w:color="000000" w:sz="4" w:space="0"/>
            </w:tcBorders>
            <w:shd w:val="clear" w:color="auto" w:fill="auto"/>
            <w:vAlign w:val="center"/>
          </w:tcPr>
          <w:p w14:paraId="1707BE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278" w:type="pct"/>
            <w:gridSpan w:val="2"/>
            <w:tcBorders>
              <w:top w:val="single" w:color="000000" w:sz="4" w:space="0"/>
              <w:left w:val="single" w:color="000000" w:sz="4" w:space="0"/>
              <w:bottom w:val="nil"/>
              <w:right w:val="single" w:color="000000" w:sz="4" w:space="0"/>
            </w:tcBorders>
            <w:shd w:val="clear" w:color="auto" w:fill="auto"/>
            <w:vAlign w:val="center"/>
          </w:tcPr>
          <w:p w14:paraId="046AB0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7B8DD7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664" w:type="pct"/>
            <w:gridSpan w:val="2"/>
            <w:tcBorders>
              <w:top w:val="single" w:color="000000" w:sz="4" w:space="0"/>
              <w:left w:val="single" w:color="000000" w:sz="4" w:space="0"/>
              <w:bottom w:val="nil"/>
              <w:right w:val="single" w:color="000000" w:sz="4" w:space="0"/>
            </w:tcBorders>
            <w:shd w:val="clear" w:color="auto" w:fill="auto"/>
            <w:vAlign w:val="center"/>
          </w:tcPr>
          <w:p w14:paraId="001884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00BF8B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1F69A6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1686C0B1">
            <w:pPr>
              <w:jc w:val="center"/>
              <w:rPr>
                <w:rFonts w:hint="default" w:ascii="Times New Roman" w:hAnsi="Times New Roman" w:eastAsia="宋体" w:cs="Times New Roman"/>
                <w:i w:val="0"/>
                <w:iCs w:val="0"/>
                <w:color w:val="000000"/>
                <w:sz w:val="18"/>
                <w:szCs w:val="18"/>
                <w:u w:val="none"/>
              </w:rPr>
            </w:pPr>
          </w:p>
        </w:tc>
      </w:tr>
      <w:tr w14:paraId="5CC65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840" w:hRule="atLeast"/>
        </w:trPr>
        <w:tc>
          <w:tcPr>
            <w:tcW w:w="3701"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A310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总分</w:t>
            </w:r>
          </w:p>
        </w:tc>
        <w:tc>
          <w:tcPr>
            <w:tcW w:w="3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806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776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99.95</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DF9DC">
            <w:pPr>
              <w:jc w:val="center"/>
              <w:rPr>
                <w:rFonts w:hint="default" w:ascii="Times New Roman" w:hAnsi="Times New Roman" w:eastAsia="宋体" w:cs="Times New Roman"/>
                <w:i w:val="0"/>
                <w:iCs w:val="0"/>
                <w:color w:val="000000"/>
                <w:sz w:val="18"/>
                <w:szCs w:val="18"/>
                <w:u w:val="none"/>
              </w:rPr>
            </w:pPr>
          </w:p>
        </w:tc>
      </w:tr>
    </w:tbl>
    <w:p w14:paraId="75159843">
      <w:pPr>
        <w:pStyle w:val="32"/>
        <w:widowControl/>
        <w:spacing w:before="240" w:after="240" w:line="560" w:lineRule="atLeast"/>
        <w:ind w:firstLine="640" w:firstLineChars="200"/>
        <w:jc w:val="left"/>
        <w:rPr>
          <w:rFonts w:hint="eastAsia" w:ascii="仿宋_GB2312" w:hAnsi="仿宋_GB2312" w:eastAsia="仿宋_GB2312" w:cs="仿宋_GB2312"/>
          <w:b w:val="0"/>
          <w:bCs w:val="0"/>
          <w:kern w:val="0"/>
          <w:sz w:val="32"/>
          <w:szCs w:val="32"/>
          <w:lang w:val="en-US" w:eastAsia="zh-CN"/>
        </w:rPr>
      </w:pPr>
      <w:r>
        <w:rPr>
          <w:rFonts w:ascii="FangSong_GB2312" w:hAnsi="FangSong_GB2312" w:eastAsia="FangSong_GB2312" w:cs="FangSong_GB2312"/>
          <w:kern w:val="0"/>
          <w:sz w:val="32"/>
          <w:szCs w:val="32"/>
          <w:lang w:eastAsia="en-US"/>
        </w:rPr>
        <w:t>2.</w:t>
      </w:r>
      <w:r>
        <w:rPr>
          <w:rFonts w:hint="eastAsia" w:ascii="仿宋_GB2312" w:hAnsi="仿宋_GB2312" w:eastAsia="仿宋_GB2312" w:cs="仿宋_GB2312"/>
          <w:b w:val="0"/>
          <w:bCs w:val="0"/>
          <w:kern w:val="0"/>
          <w:sz w:val="32"/>
          <w:szCs w:val="32"/>
          <w:lang w:val="en-US" w:eastAsia="zh-CN"/>
        </w:rPr>
        <w:t>办公用房维护费项目自评综述：根据年初设定的绩效目标，项目自评得分99.91分。全年预算数为10万元，执行数为9.91万元，完成预算的99.1%。项目绩效目标完成情况：2025年，我局承担办公楼的水电费等各项费用；办公楼年久，各项设施老化，需要进行日常维修维护，以提升工作效率，为干部创造有序办公环境。发现的主要问题及原因：2025年各项维修工作进行有序，需要在各项支出中更精确成本。下一步改进措施：尽量以多种形式，优化资源配置，节约开支。</w:t>
      </w:r>
    </w:p>
    <w:p w14:paraId="3574851B">
      <w:pPr>
        <w:pStyle w:val="2"/>
        <w:rPr>
          <w:rFonts w:hint="eastAsia" w:ascii="仿宋_GB2312" w:hAnsi="仿宋_GB2312" w:eastAsia="仿宋_GB2312" w:cs="仿宋_GB2312"/>
          <w:b w:val="0"/>
          <w:bCs w:val="0"/>
          <w:kern w:val="0"/>
          <w:sz w:val="32"/>
          <w:szCs w:val="32"/>
          <w:lang w:val="en-US" w:eastAsia="zh-CN"/>
        </w:rPr>
      </w:pPr>
    </w:p>
    <w:p w14:paraId="2BF67A80">
      <w:pPr>
        <w:pStyle w:val="4"/>
        <w:rPr>
          <w:rFonts w:hint="eastAsia"/>
          <w:lang w:val="en-US" w:eastAsia="zh-CN"/>
        </w:rPr>
      </w:pPr>
    </w:p>
    <w:tbl>
      <w:tblPr>
        <w:tblStyle w:val="22"/>
        <w:tblW w:w="505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4"/>
        <w:gridCol w:w="745"/>
        <w:gridCol w:w="860"/>
        <w:gridCol w:w="863"/>
        <w:gridCol w:w="392"/>
        <w:gridCol w:w="604"/>
        <w:gridCol w:w="266"/>
        <w:gridCol w:w="345"/>
        <w:gridCol w:w="420"/>
        <w:gridCol w:w="101"/>
        <w:gridCol w:w="1046"/>
        <w:gridCol w:w="101"/>
        <w:gridCol w:w="584"/>
        <w:gridCol w:w="101"/>
        <w:gridCol w:w="613"/>
        <w:gridCol w:w="101"/>
        <w:gridCol w:w="636"/>
        <w:gridCol w:w="101"/>
      </w:tblGrid>
      <w:tr w14:paraId="3C92A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8" w:type="pct"/>
          <w:trHeight w:val="1538" w:hRule="atLeast"/>
        </w:trPr>
        <w:tc>
          <w:tcPr>
            <w:tcW w:w="4941"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C9606A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40"/>
                <w:szCs w:val="40"/>
                <w:u w:val="none"/>
              </w:rPr>
            </w:pPr>
            <w:r>
              <w:rPr>
                <w:rFonts w:hint="default" w:ascii="Times New Roman" w:hAnsi="Times New Roman" w:eastAsia="宋体" w:cs="Times New Roman"/>
                <w:b/>
                <w:bCs/>
                <w:i w:val="0"/>
                <w:iCs w:val="0"/>
                <w:color w:val="000000"/>
                <w:kern w:val="0"/>
                <w:sz w:val="40"/>
                <w:szCs w:val="40"/>
                <w:u w:val="none"/>
                <w:lang w:val="en-US" w:eastAsia="zh-CN" w:bidi="ar"/>
              </w:rPr>
              <w:t>项目支出绩效自评表</w:t>
            </w:r>
            <w:r>
              <w:rPr>
                <w:rFonts w:hint="default" w:ascii="Times New Roman" w:hAnsi="Times New Roman" w:eastAsia="宋体" w:cs="Times New Roman"/>
                <w:b/>
                <w:bCs/>
                <w:i w:val="0"/>
                <w:iCs w:val="0"/>
                <w:color w:val="000000"/>
                <w:kern w:val="0"/>
                <w:sz w:val="40"/>
                <w:szCs w:val="40"/>
                <w:u w:val="none"/>
                <w:lang w:val="en-US" w:eastAsia="zh-CN" w:bidi="ar"/>
              </w:rPr>
              <w:br w:type="textWrapping"/>
            </w:r>
            <w:r>
              <w:rPr>
                <w:rFonts w:hint="default" w:ascii="Times New Roman" w:hAnsi="Times New Roman" w:eastAsia="宋体" w:cs="Times New Roman"/>
                <w:b/>
                <w:bCs/>
                <w:i w:val="0"/>
                <w:iCs w:val="0"/>
                <w:color w:val="000000"/>
                <w:kern w:val="0"/>
                <w:sz w:val="40"/>
                <w:szCs w:val="40"/>
                <w:u w:val="none"/>
                <w:lang w:val="en-US" w:eastAsia="zh-CN" w:bidi="ar"/>
              </w:rPr>
              <w:t>(202</w:t>
            </w:r>
            <w:r>
              <w:rPr>
                <w:rFonts w:hint="eastAsia" w:ascii="Times New Roman" w:hAnsi="Times New Roman" w:eastAsia="宋体" w:cs="Times New Roman"/>
                <w:b/>
                <w:bCs/>
                <w:i w:val="0"/>
                <w:iCs w:val="0"/>
                <w:color w:val="000000"/>
                <w:kern w:val="0"/>
                <w:sz w:val="40"/>
                <w:szCs w:val="40"/>
                <w:u w:val="none"/>
                <w:lang w:val="en-US" w:eastAsia="zh-CN" w:bidi="ar"/>
              </w:rPr>
              <w:t>5</w:t>
            </w:r>
            <w:r>
              <w:rPr>
                <w:rFonts w:hint="default" w:ascii="Times New Roman" w:hAnsi="Times New Roman" w:eastAsia="宋体" w:cs="Times New Roman"/>
                <w:b/>
                <w:bCs/>
                <w:i w:val="0"/>
                <w:iCs w:val="0"/>
                <w:color w:val="000000"/>
                <w:kern w:val="0"/>
                <w:sz w:val="40"/>
                <w:szCs w:val="40"/>
                <w:u w:val="none"/>
                <w:lang w:val="en-US" w:eastAsia="zh-CN" w:bidi="ar"/>
              </w:rPr>
              <w:t>年度）</w:t>
            </w:r>
          </w:p>
        </w:tc>
      </w:tr>
      <w:tr w14:paraId="7161F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116" w:hRule="atLeast"/>
        </w:trPr>
        <w:tc>
          <w:tcPr>
            <w:tcW w:w="8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0B252">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78"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CF04D1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办公用房维护费</w:t>
            </w:r>
          </w:p>
        </w:tc>
      </w:tr>
      <w:tr w14:paraId="656EB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122" w:hRule="atLeast"/>
        </w:trPr>
        <w:tc>
          <w:tcPr>
            <w:tcW w:w="8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12A4E">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B3E04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乌海市文体旅游广电局（部门）</w:t>
            </w:r>
          </w:p>
        </w:tc>
        <w:tc>
          <w:tcPr>
            <w:tcW w:w="5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1106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实施</w:t>
            </w:r>
          </w:p>
          <w:p w14:paraId="5738C2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w:t>
            </w:r>
          </w:p>
        </w:tc>
        <w:tc>
          <w:tcPr>
            <w:tcW w:w="19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5CDF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乌海市文化市场综合行政执法局</w:t>
            </w:r>
          </w:p>
        </w:tc>
      </w:tr>
      <w:tr w14:paraId="7055E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146" w:hRule="atLeast"/>
        </w:trPr>
        <w:tc>
          <w:tcPr>
            <w:tcW w:w="8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F0B1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项目资金</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（万元）</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F56AE">
            <w:pPr>
              <w:rPr>
                <w:rFonts w:hint="default" w:ascii="Times New Roman" w:hAnsi="Times New Roman" w:eastAsia="宋体" w:cs="Times New Roman"/>
                <w:i w:val="0"/>
                <w:iCs w:val="0"/>
                <w:color w:val="000000"/>
                <w:sz w:val="18"/>
                <w:szCs w:val="18"/>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13A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年初预算数</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7C0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全年预算数</w:t>
            </w:r>
          </w:p>
        </w:tc>
        <w:tc>
          <w:tcPr>
            <w:tcW w:w="5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08D4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全年</w:t>
            </w:r>
          </w:p>
          <w:p w14:paraId="2BABC8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执行数</w:t>
            </w:r>
          </w:p>
        </w:tc>
        <w:tc>
          <w:tcPr>
            <w:tcW w:w="6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22D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分值</w:t>
            </w:r>
          </w:p>
        </w:tc>
        <w:tc>
          <w:tcPr>
            <w:tcW w:w="81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C1DC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执行率（%）</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1FA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r>
      <w:tr w14:paraId="2B9EE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639" w:hRule="atLeast"/>
        </w:trPr>
        <w:tc>
          <w:tcPr>
            <w:tcW w:w="8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C0710">
            <w:pPr>
              <w:jc w:val="center"/>
              <w:rPr>
                <w:rFonts w:hint="default" w:ascii="Times New Roman" w:hAnsi="Times New Roman" w:eastAsia="宋体" w:cs="Times New Roman"/>
                <w:i w:val="0"/>
                <w:iCs w:val="0"/>
                <w:color w:val="000000"/>
                <w:sz w:val="18"/>
                <w:szCs w:val="18"/>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7A8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年度资金总额</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CDAB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6ACE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5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CB9C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9.91</w:t>
            </w:r>
          </w:p>
        </w:tc>
        <w:tc>
          <w:tcPr>
            <w:tcW w:w="6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68E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10</w:t>
            </w:r>
          </w:p>
        </w:tc>
        <w:tc>
          <w:tcPr>
            <w:tcW w:w="81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58D7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99.1</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3E1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9.91</w:t>
            </w:r>
          </w:p>
        </w:tc>
      </w:tr>
      <w:tr w14:paraId="255F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776" w:hRule="atLeast"/>
        </w:trPr>
        <w:tc>
          <w:tcPr>
            <w:tcW w:w="8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DF447">
            <w:pPr>
              <w:jc w:val="center"/>
              <w:rPr>
                <w:rFonts w:hint="default" w:ascii="Times New Roman" w:hAnsi="Times New Roman" w:eastAsia="宋体" w:cs="Times New Roman"/>
                <w:i w:val="0"/>
                <w:iCs w:val="0"/>
                <w:color w:val="000000"/>
                <w:sz w:val="18"/>
                <w:szCs w:val="18"/>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2765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其中：财政拨款</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C818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8F5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5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665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9.91</w:t>
            </w:r>
          </w:p>
        </w:tc>
        <w:tc>
          <w:tcPr>
            <w:tcW w:w="66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3B5AE">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c>
          <w:tcPr>
            <w:tcW w:w="81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B40F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99.1</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F6AB">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r>
      <w:tr w14:paraId="3B3EC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705" w:hRule="atLeast"/>
        </w:trPr>
        <w:tc>
          <w:tcPr>
            <w:tcW w:w="8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C071C">
            <w:pPr>
              <w:jc w:val="center"/>
              <w:rPr>
                <w:rFonts w:hint="default" w:ascii="Times New Roman" w:hAnsi="Times New Roman" w:eastAsia="宋体" w:cs="Times New Roman"/>
                <w:i w:val="0"/>
                <w:iCs w:val="0"/>
                <w:color w:val="000000"/>
                <w:sz w:val="18"/>
                <w:szCs w:val="18"/>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ABE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上年结转资金</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BC36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2C0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B2CF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E267C">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c>
          <w:tcPr>
            <w:tcW w:w="81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2C8F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6A41">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r>
      <w:tr w14:paraId="133C6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1440" w:hRule="atLeast"/>
        </w:trPr>
        <w:tc>
          <w:tcPr>
            <w:tcW w:w="8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94576">
            <w:pPr>
              <w:jc w:val="center"/>
              <w:rPr>
                <w:rFonts w:hint="default" w:ascii="Times New Roman" w:hAnsi="Times New Roman" w:eastAsia="宋体" w:cs="Times New Roman"/>
                <w:i w:val="0"/>
                <w:iCs w:val="0"/>
                <w:color w:val="000000"/>
                <w:sz w:val="18"/>
                <w:szCs w:val="18"/>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E2B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B853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639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56BE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1E346">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c>
          <w:tcPr>
            <w:tcW w:w="81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0BB4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D6B8">
            <w:pPr>
              <w:keepNext w:val="0"/>
              <w:keepLines w:val="0"/>
              <w:widowControl/>
              <w:suppressLineNumbers w:val="0"/>
              <w:jc w:val="center"/>
              <w:textAlignment w:val="center"/>
              <w:rPr>
                <w:rFonts w:hint="default" w:ascii="Times New Roman" w:hAnsi="Times New Roman" w:eastAsia="宋体" w:cs="Times New Roman"/>
                <w:i w:val="0"/>
                <w:iCs w:val="0"/>
                <w:color w:val="222222"/>
                <w:sz w:val="19"/>
                <w:szCs w:val="19"/>
                <w:u w:val="none"/>
              </w:rPr>
            </w:pPr>
            <w:r>
              <w:rPr>
                <w:rFonts w:hint="default" w:ascii="Times New Roman" w:hAnsi="Times New Roman" w:eastAsia="宋体" w:cs="Times New Roman"/>
                <w:i w:val="0"/>
                <w:iCs w:val="0"/>
                <w:color w:val="222222"/>
                <w:kern w:val="0"/>
                <w:sz w:val="19"/>
                <w:szCs w:val="19"/>
                <w:u w:val="none"/>
                <w:lang w:val="en-US" w:eastAsia="zh-CN" w:bidi="ar"/>
              </w:rPr>
              <w:t>——</w:t>
            </w:r>
          </w:p>
        </w:tc>
      </w:tr>
      <w:tr w14:paraId="672B3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380" w:hRule="atLeast"/>
        </w:trPr>
        <w:tc>
          <w:tcPr>
            <w:tcW w:w="8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460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年度总体目标</w:t>
            </w:r>
          </w:p>
        </w:tc>
        <w:tc>
          <w:tcPr>
            <w:tcW w:w="173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33D3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预期目标</w:t>
            </w:r>
          </w:p>
        </w:tc>
        <w:tc>
          <w:tcPr>
            <w:tcW w:w="234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1BE0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实际完成情况</w:t>
            </w:r>
          </w:p>
        </w:tc>
      </w:tr>
      <w:tr w14:paraId="505F0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6113" w:hRule="atLeast"/>
        </w:trPr>
        <w:tc>
          <w:tcPr>
            <w:tcW w:w="8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08024">
            <w:pPr>
              <w:jc w:val="center"/>
              <w:rPr>
                <w:rFonts w:hint="default" w:ascii="Times New Roman" w:hAnsi="Times New Roman" w:eastAsia="宋体" w:cs="Times New Roman"/>
                <w:i w:val="0"/>
                <w:iCs w:val="0"/>
                <w:color w:val="000000"/>
                <w:sz w:val="18"/>
                <w:szCs w:val="18"/>
                <w:u w:val="none"/>
              </w:rPr>
            </w:pPr>
          </w:p>
        </w:tc>
        <w:tc>
          <w:tcPr>
            <w:tcW w:w="173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81C6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目标</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乌海市文化市场综合行政执法局迁至原人防办大楼办公，因工作内容性质改变，需重新调整布局，将原办公室改造为会议室及多功能室等，并进行内部改造；承担办公楼的水电费等各项费用；办公楼年久，各项设施老化，需要进行日常维修维护，以提升工作效率，为干部创造有序办公环境。</w:t>
            </w:r>
          </w:p>
        </w:tc>
        <w:tc>
          <w:tcPr>
            <w:tcW w:w="234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24BD9F">
            <w:pPr>
              <w:keepNext w:val="0"/>
              <w:keepLines w:val="0"/>
              <w:widowControl/>
              <w:numPr>
                <w:ilvl w:val="0"/>
                <w:numId w:val="1"/>
              </w:numPr>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保障办公用房日常运维需求。本年度办公用房维护费严格按照预算执行，主要用于办公场所设施日常检修维护，对办公楼门窗、水电管线、感应门、墙面、卫生间、公共区域等设施设备开展常态化巡检维修，及时处置各类小型故障隐患，保障办公区域基础设施正常运转，满足干部职工日常办公使用需求。</w:t>
            </w:r>
          </w:p>
          <w:p w14:paraId="7CB39ED2">
            <w:pPr>
              <w:keepNext w:val="0"/>
              <w:keepLines w:val="0"/>
              <w:widowControl/>
              <w:numPr>
                <w:ilvl w:val="0"/>
                <w:numId w:val="1"/>
              </w:numPr>
              <w:suppressLineNumbers w:val="0"/>
              <w:ind w:left="0" w:leftChars="0" w:firstLine="0" w:firstLineChars="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落实重点设施维修改造。针对办公用房出现的故障问题，依规实施维修处置，对损坏的办公配套设施开展检修、更换，消除办公用房安全隐患。维修项目均履行内部审批流程，坚持比价选型，优先选用性价比高的维修方案，切实降低运维成本。</w:t>
            </w:r>
          </w:p>
          <w:p w14:paraId="4D544B8A">
            <w:pPr>
              <w:keepNext w:val="0"/>
              <w:keepLines w:val="0"/>
              <w:widowControl/>
              <w:numPr>
                <w:ilvl w:val="0"/>
                <w:numId w:val="1"/>
              </w:numPr>
              <w:suppressLineNumbers w:val="0"/>
              <w:ind w:left="0" w:leftChars="0" w:firstLine="0" w:firstLineChars="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规范经费使用管理。严格执行财经纪律及预算管理规定，经费专款专用，全部用于办公用房修缮、设施维护相关支出。严格落实厉行节约过紧日子要求，严控非必要维修支出，做到据实列支，票据附件齐全完整，不存在挤占、挪用、超范围开支等问题。</w:t>
            </w:r>
          </w:p>
          <w:p w14:paraId="1C02DC83">
            <w:pPr>
              <w:keepNext w:val="0"/>
              <w:keepLines w:val="0"/>
              <w:widowControl/>
              <w:numPr>
                <w:numId w:val="0"/>
              </w:numPr>
              <w:suppressLineNumbers w:val="0"/>
              <w:ind w:left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（四）实现资金绩效目标。经费支出与办公用房维护工作任务相匹配，财政资金使用效益得到有效发挥，圆满完成年度办公用房维护各项工作任务。</w:t>
            </w:r>
          </w:p>
        </w:tc>
      </w:tr>
      <w:tr w14:paraId="5A6D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1" w:type="pct"/>
            <w:tcBorders>
              <w:top w:val="single" w:color="000000" w:sz="4" w:space="0"/>
              <w:left w:val="single" w:color="000000" w:sz="4" w:space="0"/>
              <w:bottom w:val="single" w:color="auto" w:sz="4" w:space="0"/>
              <w:right w:val="single" w:color="000000" w:sz="4" w:space="0"/>
            </w:tcBorders>
            <w:shd w:val="clear" w:color="auto" w:fill="auto"/>
            <w:vAlign w:val="center"/>
          </w:tcPr>
          <w:p w14:paraId="66CB9D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w:t>
            </w:r>
          </w:p>
        </w:tc>
        <w:tc>
          <w:tcPr>
            <w:tcW w:w="431" w:type="pct"/>
            <w:tcBorders>
              <w:top w:val="single" w:color="000000" w:sz="4" w:space="0"/>
              <w:left w:val="single" w:color="000000" w:sz="4" w:space="0"/>
              <w:bottom w:val="single" w:color="auto" w:sz="4" w:space="0"/>
              <w:right w:val="single" w:color="000000" w:sz="4" w:space="0"/>
            </w:tcBorders>
            <w:shd w:val="clear" w:color="auto" w:fill="auto"/>
            <w:vAlign w:val="center"/>
          </w:tcPr>
          <w:p w14:paraId="549EC2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98" w:type="pct"/>
            <w:tcBorders>
              <w:top w:val="single" w:color="000000" w:sz="4" w:space="0"/>
              <w:left w:val="single" w:color="000000" w:sz="4" w:space="0"/>
              <w:bottom w:val="single" w:color="auto" w:sz="4" w:space="0"/>
              <w:right w:val="single" w:color="000000" w:sz="4" w:space="0"/>
            </w:tcBorders>
            <w:shd w:val="clear" w:color="auto" w:fill="auto"/>
            <w:vAlign w:val="center"/>
          </w:tcPr>
          <w:p w14:paraId="02D5B7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二级</w:t>
            </w:r>
          </w:p>
          <w:p w14:paraId="32CF6D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w:t>
            </w:r>
          </w:p>
        </w:tc>
        <w:tc>
          <w:tcPr>
            <w:tcW w:w="500" w:type="pct"/>
            <w:tcBorders>
              <w:top w:val="single" w:color="000000" w:sz="4" w:space="0"/>
              <w:left w:val="single" w:color="000000" w:sz="4" w:space="0"/>
              <w:bottom w:val="single" w:color="auto" w:sz="4" w:space="0"/>
              <w:right w:val="single" w:color="000000" w:sz="4" w:space="0"/>
            </w:tcBorders>
            <w:shd w:val="clear" w:color="auto" w:fill="auto"/>
            <w:vAlign w:val="center"/>
          </w:tcPr>
          <w:p w14:paraId="196540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三级</w:t>
            </w:r>
          </w:p>
          <w:p w14:paraId="5CA662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w:t>
            </w:r>
          </w:p>
        </w:tc>
        <w:tc>
          <w:tcPr>
            <w:tcW w:w="227" w:type="pct"/>
            <w:tcBorders>
              <w:top w:val="single" w:color="000000" w:sz="4" w:space="0"/>
              <w:left w:val="single" w:color="000000" w:sz="4" w:space="0"/>
              <w:bottom w:val="single" w:color="auto" w:sz="4" w:space="0"/>
              <w:right w:val="single" w:color="000000" w:sz="4" w:space="0"/>
            </w:tcBorders>
            <w:shd w:val="clear" w:color="auto" w:fill="auto"/>
            <w:vAlign w:val="center"/>
          </w:tcPr>
          <w:p w14:paraId="288FFE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350" w:type="pct"/>
            <w:tcBorders>
              <w:top w:val="single" w:color="000000" w:sz="4" w:space="0"/>
              <w:left w:val="single" w:color="000000" w:sz="4" w:space="0"/>
              <w:bottom w:val="single" w:color="auto" w:sz="4" w:space="0"/>
              <w:right w:val="single" w:color="000000" w:sz="4" w:space="0"/>
            </w:tcBorders>
            <w:shd w:val="clear" w:color="auto" w:fill="auto"/>
            <w:vAlign w:val="center"/>
          </w:tcPr>
          <w:p w14:paraId="54004A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指标方向</w:t>
            </w:r>
          </w:p>
        </w:tc>
        <w:tc>
          <w:tcPr>
            <w:tcW w:w="354"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2586F3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年度指标值</w:t>
            </w:r>
          </w:p>
        </w:tc>
        <w:tc>
          <w:tcPr>
            <w:tcW w:w="302"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319D09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实际完成值</w:t>
            </w:r>
          </w:p>
        </w:tc>
        <w:tc>
          <w:tcPr>
            <w:tcW w:w="665"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3E2624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计量单位</w:t>
            </w:r>
          </w:p>
        </w:tc>
        <w:tc>
          <w:tcPr>
            <w:tcW w:w="397"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264854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分值</w:t>
            </w:r>
          </w:p>
        </w:tc>
        <w:tc>
          <w:tcPr>
            <w:tcW w:w="414"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0F46C1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27"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2927BB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偏差原因分析及改进措施</w:t>
            </w:r>
          </w:p>
        </w:tc>
      </w:tr>
      <w:tr w14:paraId="03543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7623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w:t>
            </w:r>
          </w:p>
        </w:tc>
        <w:tc>
          <w:tcPr>
            <w:tcW w:w="43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E02A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195A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500" w:type="pct"/>
            <w:tcBorders>
              <w:top w:val="single" w:color="auto" w:sz="4" w:space="0"/>
              <w:left w:val="single" w:color="auto" w:sz="4" w:space="0"/>
              <w:bottom w:val="single" w:color="auto" w:sz="4" w:space="0"/>
              <w:right w:val="single" w:color="auto" w:sz="4" w:space="0"/>
            </w:tcBorders>
            <w:shd w:val="clear" w:color="auto" w:fill="auto"/>
            <w:vAlign w:val="center"/>
          </w:tcPr>
          <w:p w14:paraId="680159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sz w:val="18"/>
                <w:szCs w:val="18"/>
                <w:u w:val="none"/>
              </w:rPr>
              <w:t>办公室维修改造个数</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0BD19E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350" w:type="pct"/>
            <w:tcBorders>
              <w:top w:val="single" w:color="auto" w:sz="4" w:space="0"/>
              <w:left w:val="single" w:color="auto" w:sz="4" w:space="0"/>
              <w:bottom w:val="single" w:color="auto" w:sz="4" w:space="0"/>
              <w:right w:val="single" w:color="auto" w:sz="4" w:space="0"/>
            </w:tcBorders>
            <w:shd w:val="clear" w:color="auto" w:fill="auto"/>
            <w:vAlign w:val="center"/>
          </w:tcPr>
          <w:p w14:paraId="346C4F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35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8E250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5D55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6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7408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39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A34A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97B7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2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B5F90F">
            <w:pPr>
              <w:jc w:val="center"/>
              <w:rPr>
                <w:rFonts w:hint="default" w:ascii="Times New Roman" w:hAnsi="Times New Roman" w:eastAsia="宋体" w:cs="Times New Roman"/>
                <w:i w:val="0"/>
                <w:iCs w:val="0"/>
                <w:color w:val="000000"/>
                <w:sz w:val="18"/>
                <w:szCs w:val="18"/>
                <w:u w:val="none"/>
              </w:rPr>
            </w:pPr>
          </w:p>
        </w:tc>
      </w:tr>
      <w:tr w14:paraId="4869D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93144C">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45348C">
            <w:pPr>
              <w:jc w:val="center"/>
              <w:rPr>
                <w:rFonts w:hint="default" w:ascii="Times New Roman" w:hAnsi="Times New Roman" w:eastAsia="宋体" w:cs="Times New Roman"/>
                <w:i w:val="0"/>
                <w:iCs w:val="0"/>
                <w:color w:val="000000"/>
                <w:sz w:val="18"/>
                <w:szCs w:val="18"/>
                <w:u w:val="none"/>
              </w:rPr>
            </w:pPr>
          </w:p>
        </w:tc>
        <w:tc>
          <w:tcPr>
            <w:tcW w:w="49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CE45FA">
            <w:pPr>
              <w:jc w:val="center"/>
              <w:rPr>
                <w:rFonts w:hint="default" w:ascii="Times New Roman" w:hAnsi="Times New Roman" w:eastAsia="宋体" w:cs="Times New Roman"/>
                <w:i w:val="0"/>
                <w:iCs w:val="0"/>
                <w:color w:val="000000"/>
                <w:sz w:val="18"/>
                <w:szCs w:val="18"/>
                <w:u w:val="none"/>
              </w:rPr>
            </w:pPr>
          </w:p>
        </w:tc>
        <w:tc>
          <w:tcPr>
            <w:tcW w:w="500" w:type="pct"/>
            <w:tcBorders>
              <w:top w:val="single" w:color="auto" w:sz="4" w:space="0"/>
              <w:left w:val="single" w:color="auto" w:sz="4" w:space="0"/>
              <w:bottom w:val="single" w:color="auto" w:sz="4" w:space="0"/>
              <w:right w:val="single" w:color="auto" w:sz="4" w:space="0"/>
            </w:tcBorders>
            <w:shd w:val="clear" w:color="auto" w:fill="auto"/>
            <w:vAlign w:val="center"/>
          </w:tcPr>
          <w:p w14:paraId="585FB8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rPr>
              <w:t>办公室改造面积</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5E3C87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350" w:type="pct"/>
            <w:tcBorders>
              <w:top w:val="single" w:color="auto" w:sz="4" w:space="0"/>
              <w:left w:val="single" w:color="auto" w:sz="4" w:space="0"/>
              <w:bottom w:val="single" w:color="auto" w:sz="4" w:space="0"/>
              <w:right w:val="single" w:color="auto" w:sz="4" w:space="0"/>
            </w:tcBorders>
            <w:shd w:val="clear" w:color="auto" w:fill="auto"/>
            <w:vAlign w:val="center"/>
          </w:tcPr>
          <w:p w14:paraId="14FEC4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35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1BC6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500</w:t>
            </w:r>
          </w:p>
        </w:tc>
        <w:tc>
          <w:tcPr>
            <w:tcW w:w="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74B7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500</w:t>
            </w:r>
          </w:p>
        </w:tc>
        <w:tc>
          <w:tcPr>
            <w:tcW w:w="66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2C50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39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2B20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136B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C74E252">
            <w:pPr>
              <w:jc w:val="center"/>
              <w:rPr>
                <w:rFonts w:hint="default" w:ascii="Times New Roman" w:hAnsi="Times New Roman" w:eastAsia="宋体" w:cs="Times New Roman"/>
                <w:i w:val="0"/>
                <w:iCs w:val="0"/>
                <w:color w:val="000000"/>
                <w:sz w:val="18"/>
                <w:szCs w:val="18"/>
                <w:u w:val="none"/>
              </w:rPr>
            </w:pPr>
          </w:p>
        </w:tc>
      </w:tr>
      <w:tr w14:paraId="08C06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B53B48">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AC216F">
            <w:pPr>
              <w:jc w:val="center"/>
              <w:rPr>
                <w:rFonts w:hint="default" w:ascii="Times New Roman" w:hAnsi="Times New Roman" w:eastAsia="宋体" w:cs="Times New Roman"/>
                <w:i w:val="0"/>
                <w:iCs w:val="0"/>
                <w:color w:val="000000"/>
                <w:sz w:val="18"/>
                <w:szCs w:val="18"/>
                <w:u w:val="none"/>
              </w:rPr>
            </w:pPr>
          </w:p>
        </w:tc>
        <w:tc>
          <w:tcPr>
            <w:tcW w:w="4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23EA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500" w:type="pct"/>
            <w:tcBorders>
              <w:top w:val="single" w:color="auto" w:sz="4" w:space="0"/>
              <w:left w:val="single" w:color="auto" w:sz="4" w:space="0"/>
              <w:bottom w:val="single" w:color="auto" w:sz="4" w:space="0"/>
              <w:right w:val="single" w:color="auto" w:sz="4" w:space="0"/>
            </w:tcBorders>
            <w:shd w:val="clear" w:color="auto" w:fill="auto"/>
            <w:vAlign w:val="center"/>
          </w:tcPr>
          <w:p w14:paraId="3645CE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维修合格率</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6DB57D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350" w:type="pct"/>
            <w:tcBorders>
              <w:top w:val="single" w:color="auto" w:sz="4" w:space="0"/>
              <w:left w:val="single" w:color="auto" w:sz="4" w:space="0"/>
              <w:bottom w:val="single" w:color="auto" w:sz="4" w:space="0"/>
              <w:right w:val="single" w:color="auto" w:sz="4" w:space="0"/>
            </w:tcBorders>
            <w:shd w:val="clear" w:color="auto" w:fill="auto"/>
            <w:vAlign w:val="center"/>
          </w:tcPr>
          <w:p w14:paraId="18034F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35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3679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F3F6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66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C409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E24D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662B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2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EBD095">
            <w:pPr>
              <w:jc w:val="center"/>
              <w:rPr>
                <w:rFonts w:hint="default" w:ascii="Times New Roman" w:hAnsi="Times New Roman" w:eastAsia="宋体" w:cs="Times New Roman"/>
                <w:i w:val="0"/>
                <w:iCs w:val="0"/>
                <w:color w:val="000000"/>
                <w:sz w:val="18"/>
                <w:szCs w:val="18"/>
                <w:u w:val="none"/>
              </w:rPr>
            </w:pPr>
          </w:p>
        </w:tc>
      </w:tr>
      <w:tr w14:paraId="2F843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C7D468">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39CA57">
            <w:pPr>
              <w:jc w:val="center"/>
              <w:rPr>
                <w:rFonts w:hint="default" w:ascii="Times New Roman" w:hAnsi="Times New Roman" w:eastAsia="宋体" w:cs="Times New Roman"/>
                <w:i w:val="0"/>
                <w:iCs w:val="0"/>
                <w:color w:val="000000"/>
                <w:sz w:val="18"/>
                <w:szCs w:val="18"/>
                <w:u w:val="none"/>
              </w:rPr>
            </w:pPr>
          </w:p>
        </w:tc>
        <w:tc>
          <w:tcPr>
            <w:tcW w:w="49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A7C50A">
            <w:pPr>
              <w:jc w:val="center"/>
              <w:rPr>
                <w:rFonts w:hint="default" w:ascii="Times New Roman" w:hAnsi="Times New Roman" w:eastAsia="宋体" w:cs="Times New Roman"/>
                <w:i w:val="0"/>
                <w:iCs w:val="0"/>
                <w:color w:val="000000"/>
                <w:sz w:val="18"/>
                <w:szCs w:val="18"/>
                <w:u w:val="none"/>
              </w:rPr>
            </w:pPr>
          </w:p>
        </w:tc>
        <w:tc>
          <w:tcPr>
            <w:tcW w:w="500" w:type="pct"/>
            <w:tcBorders>
              <w:top w:val="single" w:color="auto" w:sz="4" w:space="0"/>
              <w:left w:val="single" w:color="auto" w:sz="4" w:space="0"/>
              <w:bottom w:val="single" w:color="auto" w:sz="4" w:space="0"/>
              <w:right w:val="single" w:color="auto" w:sz="4" w:space="0"/>
            </w:tcBorders>
            <w:shd w:val="clear" w:color="auto" w:fill="auto"/>
            <w:vAlign w:val="center"/>
          </w:tcPr>
          <w:p w14:paraId="2D3830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水电安全供给率</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79DD76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350" w:type="pct"/>
            <w:tcBorders>
              <w:top w:val="single" w:color="auto" w:sz="4" w:space="0"/>
              <w:left w:val="single" w:color="auto" w:sz="4" w:space="0"/>
              <w:bottom w:val="single" w:color="auto" w:sz="4" w:space="0"/>
              <w:right w:val="single" w:color="auto" w:sz="4" w:space="0"/>
            </w:tcBorders>
            <w:shd w:val="clear" w:color="auto" w:fill="auto"/>
            <w:vAlign w:val="center"/>
          </w:tcPr>
          <w:p w14:paraId="0528E9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35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B58E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100</w:t>
            </w:r>
          </w:p>
        </w:tc>
        <w:tc>
          <w:tcPr>
            <w:tcW w:w="30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95238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100</w:t>
            </w:r>
          </w:p>
        </w:tc>
        <w:tc>
          <w:tcPr>
            <w:tcW w:w="66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C3DDB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607B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8E7B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ACC64C">
            <w:pPr>
              <w:jc w:val="center"/>
              <w:rPr>
                <w:rFonts w:hint="default" w:ascii="Times New Roman" w:hAnsi="Times New Roman" w:eastAsia="宋体" w:cs="Times New Roman"/>
                <w:i w:val="0"/>
                <w:iCs w:val="0"/>
                <w:color w:val="000000"/>
                <w:sz w:val="18"/>
                <w:szCs w:val="18"/>
                <w:u w:val="none"/>
              </w:rPr>
            </w:pPr>
          </w:p>
        </w:tc>
      </w:tr>
      <w:tr w14:paraId="31CE0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auto" w:sz="4" w:space="0"/>
              <w:left w:val="single" w:color="auto" w:sz="4" w:space="0"/>
              <w:bottom w:val="nil"/>
              <w:right w:val="single" w:color="000000" w:sz="4" w:space="0"/>
            </w:tcBorders>
            <w:shd w:val="clear" w:color="auto" w:fill="auto"/>
            <w:vAlign w:val="center"/>
          </w:tcPr>
          <w:p w14:paraId="21005CE9">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auto" w:sz="4" w:space="0"/>
              <w:left w:val="single" w:color="000000" w:sz="4" w:space="0"/>
              <w:bottom w:val="nil"/>
              <w:right w:val="single" w:color="000000" w:sz="4" w:space="0"/>
            </w:tcBorders>
            <w:shd w:val="clear" w:color="auto" w:fill="auto"/>
            <w:vAlign w:val="center"/>
          </w:tcPr>
          <w:p w14:paraId="23C45199">
            <w:pPr>
              <w:jc w:val="center"/>
              <w:rPr>
                <w:rFonts w:hint="default" w:ascii="Times New Roman" w:hAnsi="Times New Roman" w:eastAsia="宋体" w:cs="Times New Roman"/>
                <w:i w:val="0"/>
                <w:iCs w:val="0"/>
                <w:color w:val="000000"/>
                <w:sz w:val="18"/>
                <w:szCs w:val="18"/>
                <w:u w:val="none"/>
              </w:rPr>
            </w:pPr>
          </w:p>
        </w:tc>
        <w:tc>
          <w:tcPr>
            <w:tcW w:w="498" w:type="pct"/>
            <w:vMerge w:val="restart"/>
            <w:tcBorders>
              <w:top w:val="single" w:color="auto" w:sz="4" w:space="0"/>
              <w:left w:val="single" w:color="000000" w:sz="4" w:space="0"/>
              <w:bottom w:val="nil"/>
              <w:right w:val="single" w:color="000000" w:sz="4" w:space="0"/>
            </w:tcBorders>
            <w:shd w:val="clear" w:color="auto" w:fill="auto"/>
            <w:vAlign w:val="center"/>
          </w:tcPr>
          <w:p w14:paraId="1E78AB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500" w:type="pct"/>
            <w:tcBorders>
              <w:top w:val="single" w:color="auto" w:sz="4" w:space="0"/>
              <w:left w:val="single" w:color="000000" w:sz="4" w:space="0"/>
              <w:bottom w:val="nil"/>
              <w:right w:val="single" w:color="000000" w:sz="4" w:space="0"/>
            </w:tcBorders>
            <w:shd w:val="clear" w:color="auto" w:fill="auto"/>
            <w:vAlign w:val="center"/>
          </w:tcPr>
          <w:p w14:paraId="427548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维修完成时间</w:t>
            </w:r>
          </w:p>
        </w:tc>
        <w:tc>
          <w:tcPr>
            <w:tcW w:w="227" w:type="pct"/>
            <w:tcBorders>
              <w:top w:val="single" w:color="auto" w:sz="4" w:space="0"/>
              <w:left w:val="single" w:color="000000" w:sz="4" w:space="0"/>
              <w:bottom w:val="nil"/>
              <w:right w:val="single" w:color="000000" w:sz="4" w:space="0"/>
            </w:tcBorders>
            <w:shd w:val="clear" w:color="auto" w:fill="auto"/>
            <w:vAlign w:val="center"/>
          </w:tcPr>
          <w:p w14:paraId="52F61E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350" w:type="pct"/>
            <w:tcBorders>
              <w:top w:val="single" w:color="auto" w:sz="4" w:space="0"/>
              <w:left w:val="single" w:color="000000" w:sz="4" w:space="0"/>
              <w:bottom w:val="nil"/>
              <w:right w:val="single" w:color="000000" w:sz="4" w:space="0"/>
            </w:tcBorders>
            <w:shd w:val="clear" w:color="auto" w:fill="auto"/>
            <w:vAlign w:val="center"/>
          </w:tcPr>
          <w:p w14:paraId="1EF3A3F4">
            <w:pPr>
              <w:jc w:val="center"/>
              <w:rPr>
                <w:rFonts w:hint="default" w:ascii="Times New Roman" w:hAnsi="Times New Roman" w:eastAsia="宋体" w:cs="Times New Roman"/>
                <w:i w:val="0"/>
                <w:iCs w:val="0"/>
                <w:color w:val="000000"/>
                <w:sz w:val="18"/>
                <w:szCs w:val="18"/>
                <w:u w:val="none"/>
              </w:rPr>
            </w:pPr>
          </w:p>
        </w:tc>
        <w:tc>
          <w:tcPr>
            <w:tcW w:w="354" w:type="pct"/>
            <w:gridSpan w:val="2"/>
            <w:tcBorders>
              <w:top w:val="single" w:color="auto" w:sz="4" w:space="0"/>
              <w:left w:val="single" w:color="000000" w:sz="4" w:space="0"/>
              <w:bottom w:val="nil"/>
              <w:right w:val="single" w:color="000000" w:sz="4" w:space="0"/>
            </w:tcBorders>
            <w:shd w:val="clear" w:color="auto" w:fill="auto"/>
            <w:vAlign w:val="center"/>
          </w:tcPr>
          <w:p w14:paraId="396E6C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年底之前</w:t>
            </w:r>
          </w:p>
        </w:tc>
        <w:tc>
          <w:tcPr>
            <w:tcW w:w="302" w:type="pct"/>
            <w:gridSpan w:val="2"/>
            <w:tcBorders>
              <w:top w:val="single" w:color="auto" w:sz="4" w:space="0"/>
              <w:left w:val="single" w:color="000000" w:sz="4" w:space="0"/>
              <w:bottom w:val="nil"/>
              <w:right w:val="single" w:color="000000" w:sz="4" w:space="0"/>
            </w:tcBorders>
            <w:shd w:val="clear" w:color="auto" w:fill="auto"/>
            <w:vAlign w:val="center"/>
          </w:tcPr>
          <w:p w14:paraId="0BFC7B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年底之前</w:t>
            </w:r>
          </w:p>
        </w:tc>
        <w:tc>
          <w:tcPr>
            <w:tcW w:w="665" w:type="pct"/>
            <w:gridSpan w:val="2"/>
            <w:tcBorders>
              <w:top w:val="single" w:color="auto" w:sz="4" w:space="0"/>
              <w:left w:val="single" w:color="000000" w:sz="4" w:space="0"/>
              <w:bottom w:val="nil"/>
              <w:right w:val="single" w:color="000000" w:sz="4" w:space="0"/>
            </w:tcBorders>
            <w:shd w:val="clear" w:color="auto" w:fill="auto"/>
            <w:vAlign w:val="center"/>
          </w:tcPr>
          <w:p w14:paraId="43C1A302">
            <w:pPr>
              <w:jc w:val="center"/>
              <w:rPr>
                <w:rFonts w:hint="default" w:ascii="Times New Roman" w:hAnsi="Times New Roman" w:eastAsia="宋体" w:cs="Times New Roman"/>
                <w:i w:val="0"/>
                <w:iCs w:val="0"/>
                <w:color w:val="000000"/>
                <w:sz w:val="18"/>
                <w:szCs w:val="18"/>
                <w:u w:val="none"/>
              </w:rPr>
            </w:pPr>
          </w:p>
        </w:tc>
        <w:tc>
          <w:tcPr>
            <w:tcW w:w="397" w:type="pct"/>
            <w:gridSpan w:val="2"/>
            <w:tcBorders>
              <w:top w:val="single" w:color="auto" w:sz="4" w:space="0"/>
              <w:left w:val="single" w:color="000000" w:sz="4" w:space="0"/>
              <w:bottom w:val="nil"/>
              <w:right w:val="single" w:color="000000" w:sz="4" w:space="0"/>
            </w:tcBorders>
            <w:shd w:val="clear" w:color="auto" w:fill="auto"/>
            <w:vAlign w:val="center"/>
          </w:tcPr>
          <w:p w14:paraId="118BCF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auto" w:sz="4" w:space="0"/>
              <w:left w:val="single" w:color="000000" w:sz="4" w:space="0"/>
              <w:bottom w:val="nil"/>
              <w:right w:val="single" w:color="000000" w:sz="4" w:space="0"/>
            </w:tcBorders>
            <w:shd w:val="clear" w:color="auto" w:fill="auto"/>
            <w:vAlign w:val="center"/>
          </w:tcPr>
          <w:p w14:paraId="2F3053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auto" w:sz="4" w:space="0"/>
              <w:left w:val="single" w:color="000000" w:sz="4" w:space="0"/>
              <w:bottom w:val="nil"/>
              <w:right w:val="single" w:color="000000" w:sz="4" w:space="0"/>
            </w:tcBorders>
            <w:shd w:val="clear" w:color="auto" w:fill="auto"/>
            <w:vAlign w:val="center"/>
          </w:tcPr>
          <w:p w14:paraId="2B45A597">
            <w:pPr>
              <w:jc w:val="center"/>
              <w:rPr>
                <w:rFonts w:hint="default" w:ascii="Times New Roman" w:hAnsi="Times New Roman" w:eastAsia="宋体" w:cs="Times New Roman"/>
                <w:i w:val="0"/>
                <w:iCs w:val="0"/>
                <w:color w:val="000000"/>
                <w:sz w:val="18"/>
                <w:szCs w:val="18"/>
                <w:u w:val="none"/>
              </w:rPr>
            </w:pPr>
          </w:p>
        </w:tc>
      </w:tr>
      <w:tr w14:paraId="21474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14D2D6EF">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000000" w:sz="4" w:space="0"/>
              <w:left w:val="single" w:color="000000" w:sz="4" w:space="0"/>
              <w:bottom w:val="nil"/>
              <w:right w:val="single" w:color="000000" w:sz="4" w:space="0"/>
            </w:tcBorders>
            <w:shd w:val="clear" w:color="auto" w:fill="auto"/>
            <w:vAlign w:val="center"/>
          </w:tcPr>
          <w:p w14:paraId="35242E33">
            <w:pPr>
              <w:jc w:val="center"/>
              <w:rPr>
                <w:rFonts w:hint="default" w:ascii="Times New Roman" w:hAnsi="Times New Roman" w:eastAsia="宋体" w:cs="Times New Roman"/>
                <w:i w:val="0"/>
                <w:iCs w:val="0"/>
                <w:color w:val="000000"/>
                <w:sz w:val="18"/>
                <w:szCs w:val="18"/>
                <w:u w:val="none"/>
              </w:rPr>
            </w:pPr>
          </w:p>
        </w:tc>
        <w:tc>
          <w:tcPr>
            <w:tcW w:w="498" w:type="pct"/>
            <w:vMerge w:val="continue"/>
            <w:tcBorders>
              <w:top w:val="single" w:color="000000" w:sz="4" w:space="0"/>
              <w:left w:val="single" w:color="000000" w:sz="4" w:space="0"/>
              <w:bottom w:val="nil"/>
              <w:right w:val="single" w:color="000000" w:sz="4" w:space="0"/>
            </w:tcBorders>
            <w:shd w:val="clear" w:color="auto" w:fill="auto"/>
            <w:vAlign w:val="center"/>
          </w:tcPr>
          <w:p w14:paraId="1BE0247D">
            <w:pPr>
              <w:jc w:val="center"/>
              <w:rPr>
                <w:rFonts w:hint="default" w:ascii="Times New Roman" w:hAnsi="Times New Roman" w:eastAsia="宋体" w:cs="Times New Roman"/>
                <w:i w:val="0"/>
                <w:iCs w:val="0"/>
                <w:color w:val="000000"/>
                <w:sz w:val="18"/>
                <w:szCs w:val="18"/>
                <w:u w:val="none"/>
              </w:rPr>
            </w:pPr>
          </w:p>
        </w:tc>
        <w:tc>
          <w:tcPr>
            <w:tcW w:w="500" w:type="pct"/>
            <w:tcBorders>
              <w:top w:val="single" w:color="000000" w:sz="4" w:space="0"/>
              <w:left w:val="single" w:color="000000" w:sz="4" w:space="0"/>
              <w:bottom w:val="nil"/>
              <w:right w:val="single" w:color="000000" w:sz="4" w:space="0"/>
            </w:tcBorders>
            <w:shd w:val="clear" w:color="auto" w:fill="auto"/>
            <w:vAlign w:val="center"/>
          </w:tcPr>
          <w:p w14:paraId="61E71E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维修及时性</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20E202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5771102C">
            <w:pPr>
              <w:jc w:val="center"/>
              <w:rPr>
                <w:rFonts w:hint="default" w:ascii="Times New Roman" w:hAnsi="Times New Roman" w:eastAsia="宋体" w:cs="Times New Roman"/>
                <w:i w:val="0"/>
                <w:iCs w:val="0"/>
                <w:color w:val="000000"/>
                <w:sz w:val="18"/>
                <w:szCs w:val="18"/>
                <w:u w:val="none"/>
              </w:rPr>
            </w:pPr>
          </w:p>
        </w:tc>
        <w:tc>
          <w:tcPr>
            <w:tcW w:w="354" w:type="pct"/>
            <w:gridSpan w:val="2"/>
            <w:tcBorders>
              <w:top w:val="single" w:color="000000" w:sz="4" w:space="0"/>
              <w:left w:val="single" w:color="000000" w:sz="4" w:space="0"/>
              <w:bottom w:val="nil"/>
              <w:right w:val="single" w:color="000000" w:sz="4" w:space="0"/>
            </w:tcBorders>
            <w:shd w:val="clear" w:color="auto" w:fill="auto"/>
            <w:vAlign w:val="center"/>
          </w:tcPr>
          <w:p w14:paraId="2F6FB0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年底之前</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1F4F7A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年底之前</w:t>
            </w:r>
          </w:p>
        </w:tc>
        <w:tc>
          <w:tcPr>
            <w:tcW w:w="665" w:type="pct"/>
            <w:gridSpan w:val="2"/>
            <w:tcBorders>
              <w:top w:val="single" w:color="000000" w:sz="4" w:space="0"/>
              <w:left w:val="single" w:color="000000" w:sz="4" w:space="0"/>
              <w:bottom w:val="nil"/>
              <w:right w:val="single" w:color="000000" w:sz="4" w:space="0"/>
            </w:tcBorders>
            <w:shd w:val="clear" w:color="auto" w:fill="auto"/>
            <w:vAlign w:val="center"/>
          </w:tcPr>
          <w:p w14:paraId="671FA952">
            <w:pPr>
              <w:jc w:val="center"/>
              <w:rPr>
                <w:rFonts w:hint="default" w:ascii="Times New Roman" w:hAnsi="Times New Roman" w:eastAsia="宋体" w:cs="Times New Roman"/>
                <w:i w:val="0"/>
                <w:iCs w:val="0"/>
                <w:color w:val="000000"/>
                <w:sz w:val="18"/>
                <w:szCs w:val="18"/>
                <w:u w:val="none"/>
              </w:rPr>
            </w:pP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0D23F9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5B1B6F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4A194601">
            <w:pPr>
              <w:jc w:val="center"/>
              <w:rPr>
                <w:rFonts w:hint="default" w:ascii="Times New Roman" w:hAnsi="Times New Roman" w:eastAsia="宋体" w:cs="Times New Roman"/>
                <w:i w:val="0"/>
                <w:iCs w:val="0"/>
                <w:color w:val="000000"/>
                <w:sz w:val="18"/>
                <w:szCs w:val="18"/>
                <w:u w:val="none"/>
              </w:rPr>
            </w:pPr>
          </w:p>
        </w:tc>
      </w:tr>
      <w:tr w14:paraId="64BBA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29ECE2CD">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000000" w:sz="4" w:space="0"/>
              <w:left w:val="single" w:color="000000" w:sz="4" w:space="0"/>
              <w:bottom w:val="nil"/>
              <w:right w:val="single" w:color="000000" w:sz="4" w:space="0"/>
            </w:tcBorders>
            <w:shd w:val="clear" w:color="auto" w:fill="auto"/>
            <w:vAlign w:val="center"/>
          </w:tcPr>
          <w:p w14:paraId="2D086E7E">
            <w:pPr>
              <w:jc w:val="center"/>
              <w:rPr>
                <w:rFonts w:hint="default" w:ascii="Times New Roman" w:hAnsi="Times New Roman" w:eastAsia="宋体" w:cs="Times New Roman"/>
                <w:i w:val="0"/>
                <w:iCs w:val="0"/>
                <w:color w:val="000000"/>
                <w:sz w:val="18"/>
                <w:szCs w:val="18"/>
                <w:u w:val="none"/>
              </w:rPr>
            </w:pPr>
          </w:p>
        </w:tc>
        <w:tc>
          <w:tcPr>
            <w:tcW w:w="498" w:type="pct"/>
            <w:vMerge w:val="restart"/>
            <w:tcBorders>
              <w:top w:val="single" w:color="000000" w:sz="4" w:space="0"/>
              <w:left w:val="single" w:color="000000" w:sz="4" w:space="0"/>
              <w:bottom w:val="nil"/>
              <w:right w:val="single" w:color="000000" w:sz="4" w:space="0"/>
            </w:tcBorders>
            <w:shd w:val="clear" w:color="auto" w:fill="auto"/>
            <w:vAlign w:val="center"/>
          </w:tcPr>
          <w:p w14:paraId="7264A4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00" w:type="pct"/>
            <w:tcBorders>
              <w:top w:val="single" w:color="000000" w:sz="4" w:space="0"/>
              <w:left w:val="single" w:color="000000" w:sz="4" w:space="0"/>
              <w:bottom w:val="nil"/>
              <w:right w:val="single" w:color="000000" w:sz="4" w:space="0"/>
            </w:tcBorders>
            <w:shd w:val="clear" w:color="auto" w:fill="auto"/>
            <w:vAlign w:val="center"/>
          </w:tcPr>
          <w:p w14:paraId="03BD21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水电费</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0D50AD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反向</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7B2965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小于等于</w:t>
            </w:r>
          </w:p>
        </w:tc>
        <w:tc>
          <w:tcPr>
            <w:tcW w:w="354" w:type="pct"/>
            <w:gridSpan w:val="2"/>
            <w:tcBorders>
              <w:top w:val="single" w:color="000000" w:sz="4" w:space="0"/>
              <w:left w:val="single" w:color="000000" w:sz="4" w:space="0"/>
              <w:bottom w:val="nil"/>
              <w:right w:val="single" w:color="000000" w:sz="4" w:space="0"/>
            </w:tcBorders>
            <w:shd w:val="clear" w:color="auto" w:fill="auto"/>
            <w:vAlign w:val="center"/>
          </w:tcPr>
          <w:p w14:paraId="4A1E7E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5.4</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40298F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100</w:t>
            </w:r>
          </w:p>
        </w:tc>
        <w:tc>
          <w:tcPr>
            <w:tcW w:w="665" w:type="pct"/>
            <w:gridSpan w:val="2"/>
            <w:tcBorders>
              <w:top w:val="single" w:color="000000" w:sz="4" w:space="0"/>
              <w:left w:val="single" w:color="000000" w:sz="4" w:space="0"/>
              <w:bottom w:val="nil"/>
              <w:right w:val="single" w:color="000000" w:sz="4" w:space="0"/>
            </w:tcBorders>
            <w:shd w:val="clear" w:color="auto" w:fill="auto"/>
            <w:vAlign w:val="center"/>
          </w:tcPr>
          <w:p w14:paraId="4FF7D6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元/次</w:t>
            </w: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648319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17478F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440D62A3">
            <w:pPr>
              <w:jc w:val="center"/>
              <w:rPr>
                <w:rFonts w:hint="default" w:ascii="Times New Roman" w:hAnsi="Times New Roman" w:eastAsia="宋体" w:cs="Times New Roman"/>
                <w:i w:val="0"/>
                <w:iCs w:val="0"/>
                <w:color w:val="000000"/>
                <w:sz w:val="18"/>
                <w:szCs w:val="18"/>
                <w:u w:val="none"/>
              </w:rPr>
            </w:pPr>
          </w:p>
        </w:tc>
      </w:tr>
      <w:tr w14:paraId="51510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1EDFBBF0">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000000" w:sz="4" w:space="0"/>
              <w:left w:val="single" w:color="000000" w:sz="4" w:space="0"/>
              <w:bottom w:val="nil"/>
              <w:right w:val="single" w:color="000000" w:sz="4" w:space="0"/>
            </w:tcBorders>
            <w:shd w:val="clear" w:color="auto" w:fill="auto"/>
            <w:vAlign w:val="center"/>
          </w:tcPr>
          <w:p w14:paraId="0AB1E3BD">
            <w:pPr>
              <w:jc w:val="center"/>
              <w:rPr>
                <w:rFonts w:hint="default" w:ascii="Times New Roman" w:hAnsi="Times New Roman" w:eastAsia="宋体" w:cs="Times New Roman"/>
                <w:i w:val="0"/>
                <w:iCs w:val="0"/>
                <w:color w:val="000000"/>
                <w:sz w:val="18"/>
                <w:szCs w:val="18"/>
                <w:u w:val="none"/>
              </w:rPr>
            </w:pPr>
          </w:p>
        </w:tc>
        <w:tc>
          <w:tcPr>
            <w:tcW w:w="498" w:type="pct"/>
            <w:vMerge w:val="continue"/>
            <w:tcBorders>
              <w:top w:val="single" w:color="000000" w:sz="4" w:space="0"/>
              <w:left w:val="single" w:color="000000" w:sz="4" w:space="0"/>
              <w:bottom w:val="nil"/>
              <w:right w:val="single" w:color="000000" w:sz="4" w:space="0"/>
            </w:tcBorders>
            <w:shd w:val="clear" w:color="auto" w:fill="auto"/>
            <w:vAlign w:val="center"/>
          </w:tcPr>
          <w:p w14:paraId="10E527D9">
            <w:pPr>
              <w:jc w:val="center"/>
              <w:rPr>
                <w:rFonts w:hint="default" w:ascii="Times New Roman" w:hAnsi="Times New Roman" w:eastAsia="宋体" w:cs="Times New Roman"/>
                <w:i w:val="0"/>
                <w:iCs w:val="0"/>
                <w:color w:val="000000"/>
                <w:sz w:val="18"/>
                <w:szCs w:val="18"/>
                <w:u w:val="none"/>
              </w:rPr>
            </w:pPr>
          </w:p>
        </w:tc>
        <w:tc>
          <w:tcPr>
            <w:tcW w:w="500" w:type="pct"/>
            <w:tcBorders>
              <w:top w:val="single" w:color="000000" w:sz="4" w:space="0"/>
              <w:left w:val="single" w:color="000000" w:sz="4" w:space="0"/>
              <w:bottom w:val="nil"/>
              <w:right w:val="single" w:color="000000" w:sz="4" w:space="0"/>
            </w:tcBorders>
            <w:shd w:val="clear" w:color="auto" w:fill="auto"/>
            <w:vAlign w:val="center"/>
          </w:tcPr>
          <w:p w14:paraId="49316D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各项维修费</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714B6B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04F43F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354" w:type="pct"/>
            <w:gridSpan w:val="2"/>
            <w:tcBorders>
              <w:top w:val="single" w:color="000000" w:sz="4" w:space="0"/>
              <w:left w:val="single" w:color="000000" w:sz="4" w:space="0"/>
              <w:bottom w:val="nil"/>
              <w:right w:val="single" w:color="000000" w:sz="4" w:space="0"/>
            </w:tcBorders>
            <w:shd w:val="clear" w:color="auto" w:fill="auto"/>
            <w:vAlign w:val="center"/>
          </w:tcPr>
          <w:p w14:paraId="52BE43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4.6</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709D75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100</w:t>
            </w:r>
          </w:p>
        </w:tc>
        <w:tc>
          <w:tcPr>
            <w:tcW w:w="665" w:type="pct"/>
            <w:gridSpan w:val="2"/>
            <w:tcBorders>
              <w:top w:val="single" w:color="000000" w:sz="4" w:space="0"/>
              <w:left w:val="single" w:color="000000" w:sz="4" w:space="0"/>
              <w:bottom w:val="nil"/>
              <w:right w:val="single" w:color="000000" w:sz="4" w:space="0"/>
            </w:tcBorders>
            <w:shd w:val="clear" w:color="auto" w:fill="auto"/>
            <w:vAlign w:val="center"/>
          </w:tcPr>
          <w:p w14:paraId="60A9C8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人/次</w:t>
            </w: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654AD4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71F7FB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42338EBA">
            <w:pPr>
              <w:jc w:val="center"/>
              <w:rPr>
                <w:rFonts w:hint="default" w:ascii="Times New Roman" w:hAnsi="Times New Roman" w:eastAsia="宋体" w:cs="Times New Roman"/>
                <w:i w:val="0"/>
                <w:iCs w:val="0"/>
                <w:color w:val="000000"/>
                <w:sz w:val="18"/>
                <w:szCs w:val="18"/>
                <w:u w:val="none"/>
              </w:rPr>
            </w:pPr>
          </w:p>
        </w:tc>
      </w:tr>
      <w:tr w14:paraId="582D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25BD4552">
            <w:pPr>
              <w:jc w:val="center"/>
              <w:rPr>
                <w:rFonts w:hint="default" w:ascii="Times New Roman" w:hAnsi="Times New Roman" w:eastAsia="宋体" w:cs="Times New Roman"/>
                <w:i w:val="0"/>
                <w:iCs w:val="0"/>
                <w:color w:val="000000"/>
                <w:sz w:val="18"/>
                <w:szCs w:val="18"/>
                <w:u w:val="none"/>
              </w:rPr>
            </w:pPr>
          </w:p>
        </w:tc>
        <w:tc>
          <w:tcPr>
            <w:tcW w:w="431" w:type="pct"/>
            <w:vMerge w:val="restart"/>
            <w:tcBorders>
              <w:top w:val="single" w:color="000000" w:sz="4" w:space="0"/>
              <w:left w:val="single" w:color="000000" w:sz="4" w:space="0"/>
              <w:bottom w:val="nil"/>
              <w:right w:val="single" w:color="000000" w:sz="4" w:space="0"/>
            </w:tcBorders>
            <w:shd w:val="clear" w:color="auto" w:fill="auto"/>
            <w:vAlign w:val="center"/>
          </w:tcPr>
          <w:p w14:paraId="603FE4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0D72F3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w:t>
            </w:r>
          </w:p>
        </w:tc>
        <w:tc>
          <w:tcPr>
            <w:tcW w:w="500" w:type="pct"/>
            <w:tcBorders>
              <w:top w:val="single" w:color="000000" w:sz="4" w:space="0"/>
              <w:left w:val="single" w:color="000000" w:sz="4" w:space="0"/>
              <w:bottom w:val="nil"/>
              <w:right w:val="single" w:color="000000" w:sz="4" w:space="0"/>
            </w:tcBorders>
            <w:shd w:val="clear" w:color="auto" w:fill="auto"/>
            <w:vAlign w:val="center"/>
          </w:tcPr>
          <w:p w14:paraId="58A527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机关正常办公</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4B4C79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599F5A5C">
            <w:pPr>
              <w:jc w:val="center"/>
              <w:rPr>
                <w:rFonts w:hint="default" w:ascii="Times New Roman" w:hAnsi="Times New Roman" w:eastAsia="宋体" w:cs="Times New Roman"/>
                <w:i w:val="0"/>
                <w:iCs w:val="0"/>
                <w:color w:val="000000"/>
                <w:sz w:val="18"/>
                <w:szCs w:val="18"/>
                <w:u w:val="none"/>
              </w:rPr>
            </w:pPr>
          </w:p>
        </w:tc>
        <w:tc>
          <w:tcPr>
            <w:tcW w:w="354" w:type="pct"/>
            <w:gridSpan w:val="2"/>
            <w:tcBorders>
              <w:top w:val="single" w:color="000000" w:sz="4" w:space="0"/>
              <w:left w:val="single" w:color="000000" w:sz="4" w:space="0"/>
              <w:bottom w:val="nil"/>
              <w:right w:val="single" w:color="000000" w:sz="4" w:space="0"/>
            </w:tcBorders>
            <w:shd w:val="clear" w:color="auto" w:fill="auto"/>
            <w:vAlign w:val="center"/>
          </w:tcPr>
          <w:p w14:paraId="6CF967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有效提高</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51548A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665" w:type="pct"/>
            <w:gridSpan w:val="2"/>
            <w:tcBorders>
              <w:top w:val="single" w:color="000000" w:sz="4" w:space="0"/>
              <w:left w:val="single" w:color="000000" w:sz="4" w:space="0"/>
              <w:bottom w:val="nil"/>
              <w:right w:val="single" w:color="000000" w:sz="4" w:space="0"/>
            </w:tcBorders>
            <w:shd w:val="clear" w:color="auto" w:fill="auto"/>
            <w:vAlign w:val="center"/>
          </w:tcPr>
          <w:p w14:paraId="5D52F0ED">
            <w:pPr>
              <w:jc w:val="center"/>
              <w:rPr>
                <w:rFonts w:hint="default" w:ascii="Times New Roman" w:hAnsi="Times New Roman" w:eastAsia="宋体" w:cs="Times New Roman"/>
                <w:i w:val="0"/>
                <w:iCs w:val="0"/>
                <w:color w:val="000000"/>
                <w:sz w:val="18"/>
                <w:szCs w:val="18"/>
                <w:u w:val="none"/>
              </w:rPr>
            </w:pP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33AC74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718A14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03C0E410">
            <w:pPr>
              <w:jc w:val="center"/>
              <w:rPr>
                <w:rFonts w:hint="default" w:ascii="Times New Roman" w:hAnsi="Times New Roman" w:eastAsia="宋体" w:cs="Times New Roman"/>
                <w:i w:val="0"/>
                <w:iCs w:val="0"/>
                <w:color w:val="000000"/>
                <w:sz w:val="18"/>
                <w:szCs w:val="18"/>
                <w:u w:val="none"/>
              </w:rPr>
            </w:pPr>
          </w:p>
        </w:tc>
      </w:tr>
      <w:tr w14:paraId="5C7AB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20B22318">
            <w:pPr>
              <w:jc w:val="center"/>
              <w:rPr>
                <w:rFonts w:hint="default" w:ascii="Times New Roman" w:hAnsi="Times New Roman" w:eastAsia="宋体" w:cs="Times New Roman"/>
                <w:i w:val="0"/>
                <w:iCs w:val="0"/>
                <w:color w:val="000000"/>
                <w:sz w:val="18"/>
                <w:szCs w:val="18"/>
                <w:u w:val="none"/>
              </w:rPr>
            </w:pPr>
          </w:p>
        </w:tc>
        <w:tc>
          <w:tcPr>
            <w:tcW w:w="431" w:type="pct"/>
            <w:vMerge w:val="continue"/>
            <w:tcBorders>
              <w:top w:val="single" w:color="000000" w:sz="4" w:space="0"/>
              <w:left w:val="single" w:color="000000" w:sz="4" w:space="0"/>
              <w:bottom w:val="nil"/>
              <w:right w:val="single" w:color="000000" w:sz="4" w:space="0"/>
            </w:tcBorders>
            <w:shd w:val="clear" w:color="auto" w:fill="auto"/>
            <w:vAlign w:val="center"/>
          </w:tcPr>
          <w:p w14:paraId="2E63DDDE">
            <w:pPr>
              <w:jc w:val="center"/>
              <w:rPr>
                <w:rFonts w:hint="default" w:ascii="Times New Roman" w:hAnsi="Times New Roman" w:eastAsia="宋体" w:cs="Times New Roman"/>
                <w:i w:val="0"/>
                <w:iCs w:val="0"/>
                <w:color w:val="000000"/>
                <w:sz w:val="18"/>
                <w:szCs w:val="18"/>
                <w:u w:val="none"/>
              </w:rPr>
            </w:pPr>
          </w:p>
        </w:tc>
        <w:tc>
          <w:tcPr>
            <w:tcW w:w="498" w:type="pct"/>
            <w:tcBorders>
              <w:top w:val="single" w:color="000000" w:sz="4" w:space="0"/>
              <w:left w:val="single" w:color="000000" w:sz="4" w:space="0"/>
              <w:bottom w:val="nil"/>
              <w:right w:val="single" w:color="000000" w:sz="4" w:space="0"/>
            </w:tcBorders>
            <w:shd w:val="clear" w:color="auto" w:fill="auto"/>
            <w:vAlign w:val="center"/>
          </w:tcPr>
          <w:p w14:paraId="034A6E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w:t>
            </w:r>
          </w:p>
        </w:tc>
        <w:tc>
          <w:tcPr>
            <w:tcW w:w="500" w:type="pct"/>
            <w:tcBorders>
              <w:top w:val="single" w:color="000000" w:sz="4" w:space="0"/>
              <w:left w:val="single" w:color="000000" w:sz="4" w:space="0"/>
              <w:bottom w:val="nil"/>
              <w:right w:val="single" w:color="000000" w:sz="4" w:space="0"/>
            </w:tcBorders>
            <w:shd w:val="clear" w:color="auto" w:fill="auto"/>
            <w:vAlign w:val="center"/>
          </w:tcPr>
          <w:p w14:paraId="66D789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项目持续发挥作用的期限</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46B5A7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70862B25">
            <w:pPr>
              <w:jc w:val="center"/>
              <w:rPr>
                <w:rFonts w:hint="default" w:ascii="Times New Roman" w:hAnsi="Times New Roman" w:eastAsia="宋体" w:cs="Times New Roman"/>
                <w:i w:val="0"/>
                <w:iCs w:val="0"/>
                <w:color w:val="000000"/>
                <w:sz w:val="18"/>
                <w:szCs w:val="18"/>
                <w:u w:val="none"/>
              </w:rPr>
            </w:pPr>
          </w:p>
        </w:tc>
        <w:tc>
          <w:tcPr>
            <w:tcW w:w="354" w:type="pct"/>
            <w:gridSpan w:val="2"/>
            <w:tcBorders>
              <w:top w:val="single" w:color="000000" w:sz="4" w:space="0"/>
              <w:left w:val="single" w:color="000000" w:sz="4" w:space="0"/>
              <w:bottom w:val="nil"/>
              <w:right w:val="single" w:color="000000" w:sz="4" w:space="0"/>
            </w:tcBorders>
            <w:shd w:val="clear" w:color="auto" w:fill="auto"/>
            <w:vAlign w:val="center"/>
          </w:tcPr>
          <w:p w14:paraId="290E65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长期</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2C851C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665" w:type="pct"/>
            <w:gridSpan w:val="2"/>
            <w:tcBorders>
              <w:top w:val="single" w:color="000000" w:sz="4" w:space="0"/>
              <w:left w:val="single" w:color="000000" w:sz="4" w:space="0"/>
              <w:bottom w:val="nil"/>
              <w:right w:val="single" w:color="000000" w:sz="4" w:space="0"/>
            </w:tcBorders>
            <w:shd w:val="clear" w:color="auto" w:fill="auto"/>
            <w:vAlign w:val="center"/>
          </w:tcPr>
          <w:p w14:paraId="4B1B1BC4">
            <w:pPr>
              <w:jc w:val="center"/>
              <w:rPr>
                <w:rFonts w:hint="default" w:ascii="Times New Roman" w:hAnsi="Times New Roman" w:eastAsia="宋体" w:cs="Times New Roman"/>
                <w:i w:val="0"/>
                <w:iCs w:val="0"/>
                <w:color w:val="000000"/>
                <w:sz w:val="18"/>
                <w:szCs w:val="18"/>
                <w:u w:val="none"/>
              </w:rPr>
            </w:pP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5EB598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49DC91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505CA622">
            <w:pPr>
              <w:jc w:val="center"/>
              <w:rPr>
                <w:rFonts w:hint="default" w:ascii="Times New Roman" w:hAnsi="Times New Roman" w:eastAsia="宋体" w:cs="Times New Roman"/>
                <w:i w:val="0"/>
                <w:iCs w:val="0"/>
                <w:color w:val="000000"/>
                <w:sz w:val="18"/>
                <w:szCs w:val="18"/>
                <w:u w:val="none"/>
              </w:rPr>
            </w:pPr>
          </w:p>
        </w:tc>
      </w:tr>
      <w:tr w14:paraId="6C66F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1" w:type="pct"/>
            <w:vMerge w:val="continue"/>
            <w:tcBorders>
              <w:top w:val="single" w:color="000000" w:sz="4" w:space="0"/>
              <w:left w:val="single" w:color="auto" w:sz="4" w:space="0"/>
              <w:bottom w:val="nil"/>
              <w:right w:val="single" w:color="000000" w:sz="4" w:space="0"/>
            </w:tcBorders>
            <w:shd w:val="clear" w:color="auto" w:fill="auto"/>
            <w:vAlign w:val="center"/>
          </w:tcPr>
          <w:p w14:paraId="462A6593">
            <w:pPr>
              <w:jc w:val="center"/>
              <w:rPr>
                <w:rFonts w:hint="default" w:ascii="Times New Roman" w:hAnsi="Times New Roman" w:eastAsia="宋体" w:cs="Times New Roman"/>
                <w:i w:val="0"/>
                <w:iCs w:val="0"/>
                <w:color w:val="000000"/>
                <w:sz w:val="18"/>
                <w:szCs w:val="18"/>
                <w:u w:val="none"/>
              </w:rPr>
            </w:pPr>
          </w:p>
        </w:tc>
        <w:tc>
          <w:tcPr>
            <w:tcW w:w="431" w:type="pct"/>
            <w:tcBorders>
              <w:top w:val="single" w:color="000000" w:sz="4" w:space="0"/>
              <w:left w:val="single" w:color="000000" w:sz="4" w:space="0"/>
              <w:bottom w:val="nil"/>
              <w:right w:val="single" w:color="000000" w:sz="4" w:space="0"/>
            </w:tcBorders>
            <w:shd w:val="clear" w:color="auto" w:fill="auto"/>
            <w:vAlign w:val="center"/>
          </w:tcPr>
          <w:p w14:paraId="3E5DD0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558504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w:t>
            </w:r>
          </w:p>
        </w:tc>
        <w:tc>
          <w:tcPr>
            <w:tcW w:w="500" w:type="pct"/>
            <w:tcBorders>
              <w:top w:val="single" w:color="000000" w:sz="4" w:space="0"/>
              <w:left w:val="single" w:color="000000" w:sz="4" w:space="0"/>
              <w:bottom w:val="nil"/>
              <w:right w:val="single" w:color="000000" w:sz="4" w:space="0"/>
            </w:tcBorders>
            <w:shd w:val="clear" w:color="auto" w:fill="auto"/>
            <w:vAlign w:val="center"/>
          </w:tcPr>
          <w:p w14:paraId="6033DC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职工</w:t>
            </w:r>
            <w:r>
              <w:rPr>
                <w:rFonts w:hint="default" w:ascii="Times New Roman" w:hAnsi="Times New Roman" w:eastAsia="宋体" w:cs="Times New Roman"/>
                <w:i w:val="0"/>
                <w:iCs w:val="0"/>
                <w:color w:val="000000"/>
                <w:kern w:val="0"/>
                <w:sz w:val="18"/>
                <w:szCs w:val="18"/>
                <w:u w:val="none"/>
                <w:lang w:val="en-US" w:eastAsia="zh-CN" w:bidi="ar"/>
              </w:rPr>
              <w:t>满意度</w:t>
            </w:r>
          </w:p>
        </w:tc>
        <w:tc>
          <w:tcPr>
            <w:tcW w:w="227" w:type="pct"/>
            <w:tcBorders>
              <w:top w:val="single" w:color="000000" w:sz="4" w:space="0"/>
              <w:left w:val="single" w:color="000000" w:sz="4" w:space="0"/>
              <w:bottom w:val="nil"/>
              <w:right w:val="single" w:color="000000" w:sz="4" w:space="0"/>
            </w:tcBorders>
            <w:shd w:val="clear" w:color="auto" w:fill="auto"/>
            <w:vAlign w:val="center"/>
          </w:tcPr>
          <w:p w14:paraId="54A650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正向</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53B340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大于等于</w:t>
            </w:r>
          </w:p>
        </w:tc>
        <w:tc>
          <w:tcPr>
            <w:tcW w:w="354" w:type="pct"/>
            <w:gridSpan w:val="2"/>
            <w:tcBorders>
              <w:top w:val="single" w:color="000000" w:sz="4" w:space="0"/>
              <w:left w:val="single" w:color="000000" w:sz="4" w:space="0"/>
              <w:bottom w:val="nil"/>
              <w:right w:val="single" w:color="000000" w:sz="4" w:space="0"/>
            </w:tcBorders>
            <w:shd w:val="clear" w:color="auto" w:fill="auto"/>
            <w:vAlign w:val="center"/>
          </w:tcPr>
          <w:p w14:paraId="103642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02" w:type="pct"/>
            <w:gridSpan w:val="2"/>
            <w:tcBorders>
              <w:top w:val="single" w:color="000000" w:sz="4" w:space="0"/>
              <w:left w:val="single" w:color="000000" w:sz="4" w:space="0"/>
              <w:bottom w:val="nil"/>
              <w:right w:val="single" w:color="000000" w:sz="4" w:space="0"/>
            </w:tcBorders>
            <w:shd w:val="clear" w:color="auto" w:fill="auto"/>
            <w:vAlign w:val="center"/>
          </w:tcPr>
          <w:p w14:paraId="4D260E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665" w:type="pct"/>
            <w:gridSpan w:val="2"/>
            <w:tcBorders>
              <w:top w:val="single" w:color="000000" w:sz="4" w:space="0"/>
              <w:left w:val="single" w:color="000000" w:sz="4" w:space="0"/>
              <w:bottom w:val="nil"/>
              <w:right w:val="single" w:color="000000" w:sz="4" w:space="0"/>
            </w:tcBorders>
            <w:shd w:val="clear" w:color="auto" w:fill="auto"/>
            <w:vAlign w:val="center"/>
          </w:tcPr>
          <w:p w14:paraId="62E119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7" w:type="pct"/>
            <w:gridSpan w:val="2"/>
            <w:tcBorders>
              <w:top w:val="single" w:color="000000" w:sz="4" w:space="0"/>
              <w:left w:val="single" w:color="000000" w:sz="4" w:space="0"/>
              <w:bottom w:val="nil"/>
              <w:right w:val="single" w:color="000000" w:sz="4" w:space="0"/>
            </w:tcBorders>
            <w:shd w:val="clear" w:color="auto" w:fill="auto"/>
            <w:vAlign w:val="center"/>
          </w:tcPr>
          <w:p w14:paraId="5CBF06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4" w:type="pct"/>
            <w:gridSpan w:val="2"/>
            <w:tcBorders>
              <w:top w:val="single" w:color="000000" w:sz="4" w:space="0"/>
              <w:left w:val="single" w:color="000000" w:sz="4" w:space="0"/>
              <w:bottom w:val="nil"/>
              <w:right w:val="single" w:color="000000" w:sz="4" w:space="0"/>
            </w:tcBorders>
            <w:shd w:val="clear" w:color="auto" w:fill="auto"/>
            <w:vAlign w:val="center"/>
          </w:tcPr>
          <w:p w14:paraId="5ED31A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27" w:type="pct"/>
            <w:gridSpan w:val="2"/>
            <w:tcBorders>
              <w:top w:val="single" w:color="000000" w:sz="4" w:space="0"/>
              <w:left w:val="single" w:color="000000" w:sz="4" w:space="0"/>
              <w:bottom w:val="nil"/>
              <w:right w:val="single" w:color="000000" w:sz="4" w:space="0"/>
            </w:tcBorders>
            <w:shd w:val="clear" w:color="auto" w:fill="auto"/>
            <w:vAlign w:val="center"/>
          </w:tcPr>
          <w:p w14:paraId="36133DD1">
            <w:pPr>
              <w:jc w:val="center"/>
              <w:rPr>
                <w:rFonts w:hint="default" w:ascii="Times New Roman" w:hAnsi="Times New Roman" w:eastAsia="宋体" w:cs="Times New Roman"/>
                <w:i w:val="0"/>
                <w:iCs w:val="0"/>
                <w:color w:val="000000"/>
                <w:sz w:val="18"/>
                <w:szCs w:val="18"/>
                <w:u w:val="none"/>
              </w:rPr>
            </w:pPr>
          </w:p>
        </w:tc>
      </w:tr>
      <w:tr w14:paraId="3CC4E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8" w:type="pct"/>
          <w:trHeight w:val="840" w:hRule="atLeast"/>
        </w:trPr>
        <w:tc>
          <w:tcPr>
            <w:tcW w:w="3702"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5EF8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总分</w:t>
            </w:r>
          </w:p>
        </w:tc>
        <w:tc>
          <w:tcPr>
            <w:tcW w:w="3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CF6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551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99.91</w:t>
            </w:r>
          </w:p>
        </w:tc>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DCE4D">
            <w:pPr>
              <w:jc w:val="center"/>
              <w:rPr>
                <w:rFonts w:hint="default" w:ascii="Times New Roman" w:hAnsi="Times New Roman" w:eastAsia="宋体" w:cs="Times New Roman"/>
                <w:i w:val="0"/>
                <w:iCs w:val="0"/>
                <w:color w:val="000000"/>
                <w:sz w:val="18"/>
                <w:szCs w:val="18"/>
                <w:u w:val="none"/>
              </w:rPr>
            </w:pPr>
          </w:p>
        </w:tc>
      </w:tr>
    </w:tbl>
    <w:p w14:paraId="6E38252C">
      <w:pPr>
        <w:pStyle w:val="32"/>
        <w:widowControl/>
        <w:spacing w:before="240" w:after="240"/>
        <w:ind w:firstLine="643"/>
        <w:jc w:val="left"/>
        <w:rPr>
          <w:rFonts w:ascii="楷体" w:hAnsi="楷体" w:eastAsia="楷体" w:cs="楷体"/>
          <w:b/>
          <w:bCs/>
          <w:kern w:val="0"/>
          <w:sz w:val="32"/>
          <w:szCs w:val="32"/>
        </w:rPr>
      </w:pPr>
    </w:p>
    <w:p w14:paraId="4308BEE2">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14:paraId="512EDF7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本单位2025年未开展重点项目绩效评价。</w:t>
      </w:r>
    </w:p>
    <w:p w14:paraId="7BE2BF0D">
      <w:pPr>
        <w:pStyle w:val="32"/>
        <w:widowControl/>
        <w:spacing w:before="240" w:after="240"/>
        <w:ind w:firstLine="643"/>
        <w:jc w:val="left"/>
        <w:rPr>
          <w:rFonts w:ascii="楷体" w:hAnsi="楷体" w:eastAsia="楷体" w:cs="楷体"/>
          <w:b/>
          <w:bCs/>
          <w:kern w:val="0"/>
          <w:sz w:val="32"/>
          <w:szCs w:val="32"/>
        </w:rPr>
      </w:pPr>
    </w:p>
    <w:p w14:paraId="1838DFC8">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（四）单位预算绩效管理制度和核心绩效指标标准体系建设情况。</w:t>
      </w:r>
    </w:p>
    <w:p w14:paraId="424917AA">
      <w:pPr>
        <w:pStyle w:val="32"/>
        <w:widowControl/>
        <w:spacing w:before="240" w:after="240" w:line="560" w:lineRule="atLeast"/>
        <w:ind w:firstLine="640"/>
        <w:jc w:val="left"/>
        <w:rPr>
          <w:rFonts w:hint="eastAsia" w:ascii="仿宋_GB2312" w:hAnsi="仿宋_GB2312" w:eastAsia="仿宋_GB2312" w:cs="仿宋_GB2312"/>
          <w:b w:val="0"/>
          <w:bCs w:val="0"/>
          <w:kern w:val="0"/>
          <w:sz w:val="32"/>
          <w:szCs w:val="32"/>
          <w:lang w:val="en-US" w:eastAsia="zh-CN" w:bidi="ar-SA"/>
        </w:rPr>
      </w:pPr>
      <w:r>
        <w:rPr>
          <w:rFonts w:hint="eastAsia" w:ascii="楷体" w:hAnsi="楷体" w:eastAsia="楷体" w:cs="楷体"/>
          <w:b w:val="0"/>
          <w:bCs w:val="0"/>
          <w:kern w:val="0"/>
          <w:sz w:val="32"/>
          <w:szCs w:val="32"/>
          <w:lang w:val="en-US" w:eastAsia="zh-CN" w:bidi="ar-SA"/>
        </w:rPr>
        <w:t>（一） 健全绩效管理制度机制。</w:t>
      </w:r>
      <w:r>
        <w:rPr>
          <w:rFonts w:hint="eastAsia" w:ascii="仿宋_GB2312" w:hAnsi="仿宋_GB2312" w:eastAsia="仿宋_GB2312" w:cs="仿宋_GB2312"/>
          <w:b w:val="0"/>
          <w:bCs w:val="0"/>
          <w:kern w:val="0"/>
          <w:sz w:val="32"/>
          <w:szCs w:val="32"/>
          <w:lang w:val="en-US" w:eastAsia="zh-CN" w:bidi="ar-SA"/>
        </w:rPr>
        <w:t>严格执行财政预算绩效管理相关制度，结合单位执法工作实际，持续落实预算编制、绩效目标申报、绩效运行监控、绩效自评、结果应用全流程管理制度。实现“预算编制有目标、预算执行有监控、预算完成有评价、评价结果有应用”的闭环管理机制。</w:t>
      </w:r>
    </w:p>
    <w:p w14:paraId="3DF4E98A">
      <w:pPr>
        <w:pStyle w:val="32"/>
        <w:widowControl/>
        <w:spacing w:before="240" w:after="240" w:line="560" w:lineRule="atLeast"/>
        <w:ind w:firstLine="640"/>
        <w:jc w:val="left"/>
        <w:rPr>
          <w:rFonts w:hint="eastAsia" w:ascii="仿宋_GB2312" w:hAnsi="仿宋_GB2312" w:eastAsia="仿宋_GB2312" w:cs="仿宋_GB2312"/>
          <w:b w:val="0"/>
          <w:bCs w:val="0"/>
          <w:kern w:val="0"/>
          <w:sz w:val="32"/>
          <w:szCs w:val="32"/>
          <w:lang w:val="en-US" w:eastAsia="zh-CN" w:bidi="ar-SA"/>
        </w:rPr>
      </w:pPr>
      <w:r>
        <w:rPr>
          <w:rFonts w:hint="eastAsia" w:ascii="楷体" w:hAnsi="楷体" w:eastAsia="楷体" w:cs="楷体"/>
          <w:b w:val="0"/>
          <w:bCs w:val="0"/>
          <w:kern w:val="0"/>
          <w:sz w:val="32"/>
          <w:szCs w:val="32"/>
          <w:lang w:val="en-US" w:eastAsia="zh-CN" w:bidi="ar-SA"/>
        </w:rPr>
        <w:t>（二）完善核心绩效指标体系建设。</w:t>
      </w:r>
      <w:r>
        <w:rPr>
          <w:rFonts w:hint="eastAsia" w:ascii="仿宋_GB2312" w:hAnsi="仿宋_GB2312" w:eastAsia="仿宋_GB2312" w:cs="仿宋_GB2312"/>
          <w:b w:val="0"/>
          <w:bCs w:val="0"/>
          <w:kern w:val="0"/>
          <w:sz w:val="32"/>
          <w:szCs w:val="32"/>
          <w:lang w:val="en-US" w:eastAsia="zh-CN" w:bidi="ar-SA"/>
        </w:rPr>
        <w:t>围绕执法办案费、办公用房维护费等项目，精准设置产出指标、效益指标、满意度指标，指标设置贴合执法业务实际、科学合理、可量化、可考核。逐步建立适配文化市场综合行政执法职能的常态化、标准化绩效指标体系。</w:t>
      </w:r>
    </w:p>
    <w:p w14:paraId="1AF8770D">
      <w:pPr>
        <w:pStyle w:val="32"/>
        <w:widowControl/>
        <w:spacing w:before="240" w:after="240" w:line="560" w:lineRule="atLeast"/>
        <w:ind w:firstLine="640"/>
        <w:jc w:val="left"/>
        <w:rPr>
          <w:rFonts w:hint="eastAsia" w:ascii="仿宋_GB2312" w:hAnsi="仿宋_GB2312" w:eastAsia="仿宋_GB2312" w:cs="仿宋_GB2312"/>
          <w:b w:val="0"/>
          <w:bCs w:val="0"/>
          <w:kern w:val="0"/>
          <w:sz w:val="32"/>
          <w:szCs w:val="32"/>
          <w:lang w:val="en-US" w:eastAsia="zh-CN" w:bidi="ar-SA"/>
        </w:rPr>
      </w:pPr>
      <w:r>
        <w:rPr>
          <w:rFonts w:hint="eastAsia" w:ascii="楷体" w:hAnsi="楷体" w:eastAsia="楷体" w:cs="楷体"/>
          <w:b w:val="0"/>
          <w:bCs w:val="0"/>
          <w:kern w:val="0"/>
          <w:sz w:val="32"/>
          <w:szCs w:val="32"/>
          <w:lang w:val="en-US" w:eastAsia="zh-CN" w:bidi="ar-SA"/>
        </w:rPr>
        <w:t>（三）强化绩效运行全过程监控。</w:t>
      </w:r>
      <w:r>
        <w:rPr>
          <w:rFonts w:hint="eastAsia" w:ascii="仿宋_GB2312" w:hAnsi="仿宋_GB2312" w:eastAsia="仿宋_GB2312" w:cs="仿宋_GB2312"/>
          <w:b w:val="0"/>
          <w:bCs w:val="0"/>
          <w:kern w:val="0"/>
          <w:sz w:val="32"/>
          <w:szCs w:val="32"/>
          <w:lang w:val="en-US" w:eastAsia="zh-CN" w:bidi="ar-SA"/>
        </w:rPr>
        <w:t>常态化开展季度绩效监控工作，对各项目资金执行进度、指标完成情况动态跟踪，及时发现偏差、分析原因、纠偏整改，确保项目执行有序、资金使用高效，有效避免资金闲置、低效使用等问题。</w:t>
      </w:r>
    </w:p>
    <w:p w14:paraId="16B209F0">
      <w:pPr>
        <w:pStyle w:val="32"/>
        <w:widowControl/>
        <w:spacing w:before="240" w:after="240" w:line="560" w:lineRule="atLeast"/>
        <w:ind w:firstLine="640"/>
        <w:jc w:val="left"/>
        <w:rPr>
          <w:rFonts w:ascii="Times New Roman" w:hAnsi="Times New Roman" w:eastAsia="Times New Roman" w:cs="Times New Roman"/>
          <w:kern w:val="0"/>
          <w:sz w:val="24"/>
        </w:rPr>
      </w:pPr>
      <w:r>
        <w:rPr>
          <w:rFonts w:hint="eastAsia" w:ascii="楷体" w:hAnsi="楷体" w:eastAsia="楷体" w:cs="楷体"/>
          <w:b w:val="0"/>
          <w:bCs w:val="0"/>
          <w:kern w:val="0"/>
          <w:sz w:val="32"/>
          <w:szCs w:val="32"/>
          <w:lang w:val="en-US" w:eastAsia="zh-CN" w:bidi="ar-SA"/>
        </w:rPr>
        <w:t>（四）严格绩效自评与结果运用。</w:t>
      </w:r>
      <w:r>
        <w:rPr>
          <w:rFonts w:hint="eastAsia" w:ascii="仿宋_GB2312" w:hAnsi="仿宋_GB2312" w:eastAsia="仿宋_GB2312" w:cs="仿宋_GB2312"/>
          <w:b w:val="0"/>
          <w:bCs w:val="0"/>
          <w:kern w:val="0"/>
          <w:sz w:val="32"/>
          <w:szCs w:val="32"/>
          <w:lang w:val="en-US" w:eastAsia="zh-CN" w:bidi="ar-SA"/>
        </w:rPr>
        <w:t>按时完成年度项目绩效自评工作，真实客观反映项目实施成效，认真梳理存在短板弱项，将绩效评价结果作为下一年度预算编制、项目安排、资金调整的重要依据，实现绩效评价与预算管理深度融合。</w:t>
      </w:r>
    </w:p>
    <w:p w14:paraId="20E3B727">
      <w:pPr>
        <w:pStyle w:val="7"/>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4A36908A">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0DAE6FAE">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16430153">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3966CC5A">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1BD383BB">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24DD0936">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67FAACDA">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52640402">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26C928C1">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308162EE">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4D9833FE">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09965611">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42A8C78E">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3980F6A0">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10DB3955">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74248862">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14:paraId="6B9A59AA">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7EBCBAB9">
      <w:pPr>
        <w:pStyle w:val="7"/>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0ED9B80E">
      <w:pPr>
        <w:widowControl/>
        <w:spacing w:before="240" w:after="240"/>
        <w:jc w:val="left"/>
        <w:rPr>
          <w:rFonts w:ascii="Times New Roman" w:hAnsi="Times New Roman" w:eastAsia="Times New Roman" w:cs="Times New Roman"/>
          <w:kern w:val="0"/>
          <w:sz w:val="24"/>
        </w:rPr>
      </w:pPr>
    </w:p>
    <w:p w14:paraId="27F878B6">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本单位决算公开信息反馈和联系方式：</w:t>
      </w:r>
    </w:p>
    <w:p w14:paraId="2CBF8A68">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hint="eastAsia" w:ascii="FangSong_GB2312" w:hAnsi="FangSong_GB2312" w:eastAsia="FangSong_GB2312" w:cs="FangSong_GB2312"/>
          <w:kern w:val="0"/>
          <w:sz w:val="32"/>
          <w:szCs w:val="32"/>
          <w:lang w:eastAsia="zh-CN"/>
        </w:rPr>
        <w:t>曹丹</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0473-3998654</w:t>
      </w:r>
    </w:p>
    <w:p w14:paraId="189592CD">
      <w:pPr>
        <w:widowControl/>
        <w:spacing w:before="240" w:after="240"/>
        <w:jc w:val="left"/>
        <w:rPr>
          <w:rFonts w:ascii="Times New Roman" w:hAnsi="Times New Roman" w:eastAsia="Times New Roman" w:cs="Times New Roman"/>
          <w:kern w:val="0"/>
          <w:sz w:val="24"/>
        </w:rPr>
      </w:pPr>
    </w:p>
    <w:p w14:paraId="5BE6A565">
      <w:pPr>
        <w:pStyle w:val="7"/>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单位决算表</w:t>
      </w:r>
    </w:p>
    <w:p w14:paraId="6683C886">
      <w:pPr>
        <w:pStyle w:val="32"/>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1EECA7F6">
      <w:pPr>
        <w:pStyle w:val="32"/>
        <w:widowControl/>
        <w:spacing w:before="240" w:after="240" w:line="560" w:lineRule="atLeast"/>
        <w:ind w:firstLine="640"/>
        <w:jc w:val="left"/>
      </w:pPr>
      <w:r>
        <w:rPr>
          <w:rFonts w:ascii="FangSong_GB2312" w:hAnsi="FangSong_GB2312" w:eastAsia="FangSong_GB2312" w:cs="FangSong_GB2312"/>
          <w:kern w:val="0"/>
          <w:sz w:val="32"/>
          <w:szCs w:val="32"/>
        </w:rPr>
        <w:t>见附件。</w:t>
      </w:r>
      <w:bookmarkEnd w:id="0"/>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_new_rom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ang_zheng_xiao_biao_song_ti">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AC035">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B60EB">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091262"/>
    <w:multiLevelType w:val="singleLevel"/>
    <w:tmpl w:val="F309126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2197A"/>
    <w:rsid w:val="0F4946D0"/>
    <w:rsid w:val="135B2C24"/>
    <w:rsid w:val="1658169C"/>
    <w:rsid w:val="1BA23AE5"/>
    <w:rsid w:val="1FDB5818"/>
    <w:rsid w:val="202820DF"/>
    <w:rsid w:val="22853819"/>
    <w:rsid w:val="25E92311"/>
    <w:rsid w:val="2A9071FF"/>
    <w:rsid w:val="2C6C77F8"/>
    <w:rsid w:val="2F57653D"/>
    <w:rsid w:val="34441786"/>
    <w:rsid w:val="344A041F"/>
    <w:rsid w:val="35F3467B"/>
    <w:rsid w:val="36730100"/>
    <w:rsid w:val="3F3D74FE"/>
    <w:rsid w:val="48A405ED"/>
    <w:rsid w:val="57D52571"/>
    <w:rsid w:val="583152CE"/>
    <w:rsid w:val="5A951B44"/>
    <w:rsid w:val="5F8F311D"/>
    <w:rsid w:val="63AB687C"/>
    <w:rsid w:val="793F5645"/>
    <w:rsid w:val="7C224DAA"/>
    <w:rsid w:val="7DE70059"/>
    <w:rsid w:val="7E751B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iPriority="0" w:semiHidden="0" w:name="Title"/>
    <w:lsdException w:uiPriority="0" w:name="Closing"/>
    <w:lsdException w:uiPriority="0" w:name="Signature"/>
    <w:lsdException w:uiPriority="1" w:name="Default Paragraph Font"/>
    <w:lsdException w:uiPriority="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qFormat/>
    <w:uiPriority w:val="0"/>
    <w:pPr>
      <w:keepNext/>
      <w:keepLines/>
      <w:spacing w:before="340" w:after="330" w:line="578" w:lineRule="auto"/>
      <w:outlineLvl w:val="0"/>
    </w:pPr>
    <w:rPr>
      <w:b/>
      <w:bCs/>
      <w:kern w:val="44"/>
      <w:sz w:val="44"/>
      <w:szCs w:val="44"/>
    </w:rPr>
  </w:style>
  <w:style w:type="paragraph" w:styleId="7">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8">
    <w:name w:val="heading 3"/>
    <w:basedOn w:val="1"/>
    <w:next w:val="1"/>
    <w:link w:val="31"/>
    <w:qFormat/>
    <w:uiPriority w:val="0"/>
    <w:pPr>
      <w:keepNext/>
      <w:keepLines/>
      <w:spacing w:before="260" w:after="260" w:line="416" w:lineRule="auto"/>
      <w:outlineLvl w:val="2"/>
    </w:pPr>
    <w:rPr>
      <w:b/>
      <w:bCs/>
      <w:sz w:val="32"/>
      <w:szCs w:val="32"/>
    </w:rPr>
  </w:style>
  <w:style w:type="paragraph" w:styleId="9">
    <w:name w:val="heading 4"/>
    <w:basedOn w:val="1"/>
    <w:next w:val="1"/>
    <w:link w:val="26"/>
    <w:qFormat/>
    <w:uiPriority w:val="0"/>
    <w:pPr>
      <w:keepNext/>
      <w:keepLines/>
      <w:spacing w:before="280" w:after="290" w:line="376" w:lineRule="auto"/>
      <w:outlineLvl w:val="3"/>
    </w:pPr>
    <w:rPr>
      <w:rFonts w:ascii="Cambria" w:hAnsi="Cambria"/>
      <w:b/>
      <w:bCs/>
      <w:sz w:val="28"/>
      <w:szCs w:val="28"/>
    </w:rPr>
  </w:style>
  <w:style w:type="character" w:default="1" w:styleId="23">
    <w:name w:val="Default Paragraph Font"/>
    <w:semiHidden/>
    <w:unhideWhenUsed/>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Title"/>
    <w:basedOn w:val="3"/>
    <w:next w:val="4"/>
    <w:unhideWhenUsed/>
    <w:qFormat/>
    <w:uiPriority w:val="0"/>
    <w:pPr>
      <w:spacing w:before="0" w:beforeLines="0" w:beforeAutospacing="0" w:after="0" w:afterLines="0" w:afterAutospacing="0"/>
      <w:ind w:left="30"/>
      <w:outlineLvl w:val="0"/>
    </w:pPr>
    <w:rPr>
      <w:rFonts w:hint="default" w:ascii="Arial" w:hAnsi="Arial" w:eastAsia="仿宋_GB2312"/>
      <w:b/>
      <w:sz w:val="32"/>
      <w:szCs w:val="32"/>
    </w:rPr>
  </w:style>
  <w:style w:type="paragraph" w:customStyle="1" w:styleId="3">
    <w:name w:val="msonormal"/>
    <w:basedOn w:val="1"/>
    <w:unhideWhenUsed/>
    <w:qFormat/>
    <w:uiPriority w:val="0"/>
    <w:pPr>
      <w:widowControl/>
      <w:spacing w:before="100" w:beforeLines="0" w:beforeAutospacing="1" w:after="100" w:afterLines="0" w:afterAutospacing="1"/>
    </w:pPr>
    <w:rPr>
      <w:rFonts w:hint="eastAsia" w:ascii="宋体" w:hAnsi="宋体" w:eastAsia="宋体" w:cs="宋体"/>
      <w:sz w:val="24"/>
      <w:szCs w:val="24"/>
      <w:lang w:val="en-US" w:eastAsia="zh-CN" w:bidi="ar"/>
    </w:rPr>
  </w:style>
  <w:style w:type="paragraph" w:styleId="4">
    <w:name w:val="Body Text Indent"/>
    <w:basedOn w:val="3"/>
    <w:next w:val="5"/>
    <w:unhideWhenUsed/>
    <w:qFormat/>
    <w:uiPriority w:val="0"/>
    <w:pPr>
      <w:spacing w:before="0" w:beforeLines="0" w:beforeAutospacing="0" w:after="0" w:afterLines="0" w:afterAutospacing="0"/>
      <w:ind w:left="30"/>
    </w:pPr>
    <w:rPr>
      <w:rFonts w:hint="eastAsia"/>
      <w:sz w:val="24"/>
      <w:szCs w:val="24"/>
    </w:rPr>
  </w:style>
  <w:style w:type="paragraph" w:customStyle="1" w:styleId="5">
    <w:name w:val="目录 2 Char"/>
    <w:basedOn w:val="3"/>
    <w:next w:val="1"/>
    <w:unhideWhenUsed/>
    <w:qFormat/>
    <w:uiPriority w:val="0"/>
    <w:pPr>
      <w:spacing w:beforeLines="0" w:beforeAutospacing="0" w:after="0" w:afterLines="0" w:afterAutospacing="0"/>
      <w:ind w:left="420"/>
      <w:jc w:val="center"/>
    </w:pPr>
    <w:rPr>
      <w:rFonts w:hint="eastAsia" w:ascii="黑体" w:eastAsia="黑体"/>
      <w:sz w:val="32"/>
      <w:szCs w:val="32"/>
    </w:rPr>
  </w:style>
  <w:style w:type="paragraph" w:styleId="10">
    <w:name w:val="toc 7"/>
    <w:basedOn w:val="1"/>
    <w:next w:val="1"/>
    <w:qFormat/>
    <w:uiPriority w:val="0"/>
    <w:pPr>
      <w:ind w:left="1260"/>
      <w:jc w:val="left"/>
    </w:pPr>
    <w:rPr>
      <w:sz w:val="20"/>
      <w:szCs w:val="20"/>
    </w:rPr>
  </w:style>
  <w:style w:type="paragraph" w:styleId="11">
    <w:name w:val="Document Map"/>
    <w:basedOn w:val="1"/>
    <w:qFormat/>
    <w:uiPriority w:val="0"/>
    <w:pPr>
      <w:shd w:val="clear" w:color="auto" w:fill="000080"/>
    </w:pPr>
  </w:style>
  <w:style w:type="paragraph" w:styleId="12">
    <w:name w:val="toc 5"/>
    <w:basedOn w:val="1"/>
    <w:next w:val="1"/>
    <w:qFormat/>
    <w:uiPriority w:val="0"/>
    <w:pPr>
      <w:ind w:left="840"/>
      <w:jc w:val="left"/>
    </w:pPr>
    <w:rPr>
      <w:sz w:val="20"/>
      <w:szCs w:val="20"/>
    </w:rPr>
  </w:style>
  <w:style w:type="paragraph" w:styleId="13">
    <w:name w:val="toc 3"/>
    <w:basedOn w:val="1"/>
    <w:next w:val="1"/>
    <w:uiPriority w:val="0"/>
    <w:pPr>
      <w:adjustRightInd w:val="0"/>
      <w:snapToGrid w:val="0"/>
      <w:spacing w:line="360" w:lineRule="auto"/>
      <w:ind w:firstLine="400" w:firstLineChars="400"/>
      <w:jc w:val="left"/>
    </w:pPr>
    <w:rPr>
      <w:sz w:val="24"/>
      <w:szCs w:val="20"/>
    </w:rPr>
  </w:style>
  <w:style w:type="paragraph" w:styleId="14">
    <w:name w:val="toc 8"/>
    <w:basedOn w:val="1"/>
    <w:next w:val="1"/>
    <w:qFormat/>
    <w:uiPriority w:val="0"/>
    <w:pPr>
      <w:ind w:left="1470"/>
      <w:jc w:val="left"/>
    </w:pPr>
    <w:rPr>
      <w:sz w:val="20"/>
      <w:szCs w:val="20"/>
    </w:rPr>
  </w:style>
  <w:style w:type="paragraph" w:styleId="15">
    <w:name w:val="footer"/>
    <w:basedOn w:val="1"/>
    <w:link w:val="29"/>
    <w:qFormat/>
    <w:uiPriority w:val="0"/>
    <w:pPr>
      <w:tabs>
        <w:tab w:val="center" w:pos="4153"/>
        <w:tab w:val="right" w:pos="8306"/>
      </w:tabs>
      <w:snapToGrid w:val="0"/>
      <w:jc w:val="left"/>
    </w:pPr>
    <w:rPr>
      <w:sz w:val="18"/>
      <w:szCs w:val="18"/>
    </w:rPr>
  </w:style>
  <w:style w:type="paragraph" w:styleId="1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0"/>
    <w:pPr>
      <w:adjustRightInd w:val="0"/>
      <w:snapToGrid w:val="0"/>
      <w:spacing w:line="360" w:lineRule="auto"/>
      <w:jc w:val="left"/>
    </w:pPr>
    <w:rPr>
      <w:b/>
      <w:bCs/>
      <w:sz w:val="24"/>
      <w:szCs w:val="20"/>
    </w:rPr>
  </w:style>
  <w:style w:type="paragraph" w:styleId="18">
    <w:name w:val="toc 4"/>
    <w:basedOn w:val="1"/>
    <w:next w:val="1"/>
    <w:qFormat/>
    <w:uiPriority w:val="0"/>
    <w:pPr>
      <w:ind w:left="630"/>
      <w:jc w:val="left"/>
    </w:pPr>
    <w:rPr>
      <w:sz w:val="20"/>
      <w:szCs w:val="20"/>
    </w:rPr>
  </w:style>
  <w:style w:type="paragraph" w:styleId="19">
    <w:name w:val="toc 6"/>
    <w:basedOn w:val="1"/>
    <w:next w:val="1"/>
    <w:uiPriority w:val="0"/>
    <w:pPr>
      <w:ind w:left="1050"/>
      <w:jc w:val="left"/>
    </w:pPr>
    <w:rPr>
      <w:sz w:val="20"/>
      <w:szCs w:val="20"/>
    </w:rPr>
  </w:style>
  <w:style w:type="paragraph" w:styleId="20">
    <w:name w:val="toc 2"/>
    <w:basedOn w:val="1"/>
    <w:next w:val="1"/>
    <w:uiPriority w:val="0"/>
    <w:pPr>
      <w:adjustRightInd w:val="0"/>
      <w:snapToGrid w:val="0"/>
      <w:spacing w:line="360" w:lineRule="auto"/>
      <w:ind w:firstLine="200" w:firstLineChars="200"/>
      <w:jc w:val="left"/>
    </w:pPr>
    <w:rPr>
      <w:iCs/>
      <w:sz w:val="24"/>
      <w:szCs w:val="20"/>
    </w:rPr>
  </w:style>
  <w:style w:type="paragraph" w:styleId="21">
    <w:name w:val="toc 9"/>
    <w:basedOn w:val="1"/>
    <w:next w:val="1"/>
    <w:qFormat/>
    <w:uiPriority w:val="0"/>
    <w:pPr>
      <w:ind w:left="1680"/>
      <w:jc w:val="left"/>
    </w:pPr>
    <w:rPr>
      <w:sz w:val="20"/>
      <w:szCs w:val="20"/>
    </w:rPr>
  </w:style>
  <w:style w:type="character" w:styleId="24">
    <w:name w:val="page number"/>
    <w:basedOn w:val="23"/>
    <w:uiPriority w:val="0"/>
  </w:style>
  <w:style w:type="character" w:styleId="25">
    <w:name w:val="Hyperlink"/>
    <w:basedOn w:val="23"/>
    <w:qFormat/>
    <w:uiPriority w:val="0"/>
    <w:rPr>
      <w:color w:val="0000FF"/>
      <w:u w:val="single"/>
    </w:rPr>
  </w:style>
  <w:style w:type="character" w:customStyle="1" w:styleId="26">
    <w:name w:val="标题 4 Char"/>
    <w:basedOn w:val="23"/>
    <w:link w:val="9"/>
    <w:qFormat/>
    <w:uiPriority w:val="0"/>
    <w:rPr>
      <w:rFonts w:ascii="Cambria" w:hAnsi="Cambria"/>
      <w:b/>
      <w:bCs/>
      <w:kern w:val="2"/>
      <w:sz w:val="28"/>
      <w:szCs w:val="28"/>
    </w:rPr>
  </w:style>
  <w:style w:type="paragraph" w:styleId="27">
    <w:name w:val="No Spacing"/>
    <w:link w:val="28"/>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8">
    <w:name w:val="无间隔 Char"/>
    <w:link w:val="27"/>
    <w:qFormat/>
    <w:locked/>
    <w:uiPriority w:val="0"/>
    <w:rPr>
      <w:rFonts w:eastAsia="仿宋_GB2312"/>
      <w:sz w:val="30"/>
      <w:szCs w:val="22"/>
      <w:lang w:bidi="ar-SA"/>
    </w:rPr>
  </w:style>
  <w:style w:type="character" w:customStyle="1" w:styleId="29">
    <w:name w:val="页脚 Char"/>
    <w:basedOn w:val="23"/>
    <w:link w:val="15"/>
    <w:qFormat/>
    <w:uiPriority w:val="0"/>
    <w:rPr>
      <w:kern w:val="2"/>
      <w:sz w:val="18"/>
      <w:szCs w:val="18"/>
    </w:rPr>
  </w:style>
  <w:style w:type="paragraph" w:styleId="30">
    <w:name w:val="List Paragraph"/>
    <w:basedOn w:val="1"/>
    <w:qFormat/>
    <w:uiPriority w:val="0"/>
    <w:pPr>
      <w:ind w:firstLine="420" w:firstLineChars="200"/>
    </w:pPr>
  </w:style>
  <w:style w:type="character" w:customStyle="1" w:styleId="31">
    <w:name w:val="标题 3 Char"/>
    <w:basedOn w:val="23"/>
    <w:link w:val="8"/>
    <w:qFormat/>
    <w:uiPriority w:val="0"/>
    <w:rPr>
      <w:b/>
      <w:bCs/>
      <w:kern w:val="2"/>
      <w:sz w:val="32"/>
      <w:szCs w:val="32"/>
    </w:rPr>
  </w:style>
  <w:style w:type="paragraph" w:customStyle="1" w:styleId="32">
    <w:name w:val="MsoNormal"/>
    <w:basedOn w:val="1"/>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28</Pages>
  <Words>9594</Words>
  <Characters>10275</Characters>
  <Lines>1</Lines>
  <Paragraphs>1</Paragraphs>
  <TotalTime>5</TotalTime>
  <ScaleCrop>false</ScaleCrop>
  <LinksUpToDate>false</LinksUpToDate>
  <CharactersWithSpaces>10478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Better in time</cp:lastModifiedBy>
  <cp:lastPrinted>2021-04-16T00:45:00Z</cp:lastPrinted>
  <dcterms:modified xsi:type="dcterms:W3CDTF">2026-09-17T09:55:57Z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7674CA516B114F06BF5F8978D9DE215F</vt:lpwstr>
  </property>
  <property fmtid="{D5CDD505-2E9C-101B-9397-08002B2CF9AE}" pid="3" name="KSOProductBuildVer">
    <vt:lpwstr>2052-12.1.0.28505</vt:lpwstr>
  </property>
  <property fmtid="{D5CDD505-2E9C-101B-9397-08002B2CF9AE}" pid="4" name="KSOTemplateDocerSaveRecord">
    <vt:lpwstr>eyJoZGlkIjoiY2FlMTJmODc4YTNmNmVhMjYwZGM4NDIxMzE2NjE0MTAiLCJ1c2VySWQiOiIzNTg5MzM3NjQifQ==</vt:lpwstr>
  </property>
</Properties>
</file>