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DBD7D">
      <w:pPr>
        <w:spacing w:line="360" w:lineRule="auto"/>
        <w:jc w:val="center"/>
        <w:rPr>
          <w:rFonts w:ascii="宋体" w:hAnsi="宋体"/>
          <w:sz w:val="24"/>
        </w:rPr>
      </w:pPr>
    </w:p>
    <w:p w14:paraId="517B8F2E">
      <w:pPr>
        <w:spacing w:line="360" w:lineRule="auto"/>
        <w:jc w:val="center"/>
        <w:rPr>
          <w:rFonts w:ascii="宋体" w:hAnsi="宋体"/>
          <w:sz w:val="24"/>
        </w:rPr>
      </w:pPr>
    </w:p>
    <w:p w14:paraId="12F8ED00">
      <w:pPr>
        <w:spacing w:line="360" w:lineRule="auto"/>
        <w:jc w:val="center"/>
        <w:rPr>
          <w:rFonts w:ascii="宋体" w:hAnsi="宋体"/>
          <w:sz w:val="24"/>
        </w:rPr>
      </w:pPr>
    </w:p>
    <w:p w14:paraId="414EB625">
      <w:pPr>
        <w:spacing w:line="360" w:lineRule="auto"/>
        <w:jc w:val="center"/>
        <w:rPr>
          <w:rFonts w:ascii="宋体" w:hAnsi="宋体"/>
          <w:sz w:val="24"/>
        </w:rPr>
      </w:pPr>
    </w:p>
    <w:p w14:paraId="37045447">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年度乌海乌兰牧骑</w:t>
      </w:r>
    </w:p>
    <w:p w14:paraId="727C2092">
      <w:pPr>
        <w:spacing w:line="360" w:lineRule="auto"/>
        <w:jc w:val="center"/>
        <w:rPr>
          <w:rFonts w:ascii="宋体" w:hAnsi="宋体"/>
          <w:b/>
          <w:bCs/>
          <w:sz w:val="52"/>
          <w:szCs w:val="52"/>
        </w:rPr>
      </w:pPr>
      <w:r>
        <w:rPr>
          <w:rFonts w:hint="eastAsia" w:ascii="宋体" w:hAnsi="宋体"/>
          <w:b/>
          <w:bCs/>
          <w:sz w:val="52"/>
          <w:szCs w:val="52"/>
        </w:rPr>
        <w:t>公开报告</w:t>
      </w:r>
    </w:p>
    <w:p w14:paraId="7D981919">
      <w:pPr>
        <w:spacing w:line="360" w:lineRule="auto"/>
        <w:jc w:val="center"/>
        <w:rPr>
          <w:rFonts w:ascii="宋体" w:hAnsi="宋体"/>
          <w:b/>
          <w:bCs/>
          <w:sz w:val="52"/>
          <w:szCs w:val="52"/>
        </w:rPr>
      </w:pPr>
    </w:p>
    <w:p w14:paraId="4A95B19D">
      <w:pPr>
        <w:spacing w:line="360" w:lineRule="auto"/>
        <w:jc w:val="center"/>
        <w:rPr>
          <w:rFonts w:ascii="宋体" w:hAnsi="宋体"/>
          <w:b/>
          <w:bCs/>
          <w:sz w:val="52"/>
          <w:szCs w:val="52"/>
        </w:rPr>
      </w:pPr>
    </w:p>
    <w:p w14:paraId="1734271C">
      <w:pPr>
        <w:spacing w:line="360" w:lineRule="auto"/>
        <w:jc w:val="center"/>
        <w:rPr>
          <w:rFonts w:ascii="宋体" w:hAnsi="宋体"/>
          <w:b/>
          <w:bCs/>
          <w:sz w:val="52"/>
          <w:szCs w:val="52"/>
        </w:rPr>
      </w:pPr>
    </w:p>
    <w:p w14:paraId="4A9C7137">
      <w:pPr>
        <w:spacing w:line="360" w:lineRule="auto"/>
        <w:jc w:val="center"/>
        <w:rPr>
          <w:rFonts w:ascii="宋体" w:hAnsi="宋体"/>
          <w:b/>
          <w:bCs/>
          <w:sz w:val="52"/>
          <w:szCs w:val="52"/>
        </w:rPr>
      </w:pPr>
    </w:p>
    <w:p w14:paraId="2B4F88A7">
      <w:pPr>
        <w:spacing w:line="360" w:lineRule="auto"/>
        <w:jc w:val="center"/>
        <w:rPr>
          <w:rFonts w:ascii="宋体" w:hAnsi="宋体"/>
          <w:b/>
          <w:bCs/>
          <w:sz w:val="52"/>
          <w:szCs w:val="52"/>
        </w:rPr>
      </w:pPr>
    </w:p>
    <w:p w14:paraId="6AD64F4B">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111F3488">
      <w:pPr>
        <w:pStyle w:val="28"/>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3ED34B0F">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6E896D44">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概况</w:t>
      </w:r>
    </w:p>
    <w:p w14:paraId="4D1360A9">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49B66333">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机构设置及决算单位构成情况</w:t>
      </w:r>
    </w:p>
    <w:p w14:paraId="21B5A766">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主要工作完成情况</w:t>
      </w:r>
    </w:p>
    <w:p w14:paraId="5B268D7D">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决算情况说明</w:t>
      </w:r>
    </w:p>
    <w:p w14:paraId="01C86611">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461AF3D8">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13ACF6E1">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12A0168B">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63EA2D27">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01CEAE33">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25F395F7">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42C8E921">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59E7FBDE">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5F15D259">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397B2217">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3F898E6E">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3731782E">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68480BC8">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38E97E9C">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4027D953">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060F174D">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决算表</w:t>
      </w:r>
    </w:p>
    <w:p w14:paraId="339FF1B7">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271F8404">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4AB16CDF">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7CEE8351">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1C5A24CD">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4E6FD3D2">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595C98CD">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22F434FD">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7C06B247">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1BA36150">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5A299E4B">
      <w:pPr>
        <w:pStyle w:val="28"/>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6F222A5E">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hint="eastAsia" w:ascii="方正小标宋简体" w:hAnsi="方正小标宋简体" w:eastAsia="方正小标宋简体" w:cs="方正小标宋简体"/>
          <w:b w:val="0"/>
          <w:bCs w:val="0"/>
          <w:kern w:val="0"/>
          <w:sz w:val="36"/>
          <w:szCs w:val="36"/>
          <w:lang w:eastAsia="zh-CN"/>
        </w:rPr>
        <w:t>单位</w:t>
      </w:r>
      <w:r>
        <w:rPr>
          <w:rFonts w:ascii="方正小标宋简体" w:hAnsi="方正小标宋简体" w:eastAsia="方正小标宋简体" w:cs="方正小标宋简体"/>
          <w:b w:val="0"/>
          <w:bCs w:val="0"/>
          <w:kern w:val="0"/>
          <w:sz w:val="36"/>
          <w:szCs w:val="36"/>
        </w:rPr>
        <w:t>概况</w:t>
      </w:r>
    </w:p>
    <w:p w14:paraId="6ADEC201">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23536E0B">
      <w:pPr>
        <w:pStyle w:val="28"/>
        <w:widowControl/>
        <w:spacing w:before="240" w:after="240" w:line="600" w:lineRule="atLeast"/>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color w:val="000AFF"/>
          <w:kern w:val="0"/>
          <w:sz w:val="32"/>
          <w:szCs w:val="32"/>
          <w:lang w:eastAsia="zh-CN"/>
        </w:rPr>
        <w:t>单位</w:t>
      </w:r>
      <w:r>
        <w:rPr>
          <w:rFonts w:ascii="FangSong_GB2312" w:hAnsi="FangSong_GB2312" w:eastAsia="FangSong_GB2312" w:cs="FangSong_GB2312"/>
          <w:color w:val="000AFF"/>
          <w:kern w:val="0"/>
          <w:sz w:val="32"/>
          <w:szCs w:val="32"/>
        </w:rPr>
        <w:t>公开的名称应是全称并在报告和报表中保持一致，如果由于机构变革导致名称等与上年度信息偏差较大，则应在此说明。如</w:t>
      </w:r>
      <w:r>
        <w:rPr>
          <w:rFonts w:hint="eastAsia" w:ascii="FangSong_GB2312" w:hAnsi="FangSong_GB2312" w:eastAsia="FangSong_GB2312" w:cs="FangSong_GB2312"/>
          <w:color w:val="000AFF"/>
          <w:kern w:val="0"/>
          <w:sz w:val="32"/>
          <w:szCs w:val="32"/>
          <w:lang w:eastAsia="zh-CN"/>
        </w:rPr>
        <w:t>单位</w:t>
      </w:r>
      <w:r>
        <w:rPr>
          <w:rFonts w:ascii="FangSong_GB2312" w:hAnsi="FangSong_GB2312" w:eastAsia="FangSong_GB2312" w:cs="FangSong_GB2312"/>
          <w:color w:val="000AFF"/>
          <w:kern w:val="0"/>
          <w:sz w:val="32"/>
          <w:szCs w:val="32"/>
        </w:rPr>
        <w:t>属于新设立单位等原因，导致无法与上年决算做对比的，应说明“我</w:t>
      </w:r>
      <w:r>
        <w:rPr>
          <w:rFonts w:hint="eastAsia" w:ascii="FangSong_GB2312" w:hAnsi="FangSong_GB2312" w:eastAsia="FangSong_GB2312" w:cs="FangSong_GB2312"/>
          <w:color w:val="000AFF"/>
          <w:kern w:val="0"/>
          <w:sz w:val="32"/>
          <w:szCs w:val="32"/>
          <w:lang w:eastAsia="zh-CN"/>
        </w:rPr>
        <w:t>单位</w:t>
      </w:r>
      <w:r>
        <w:rPr>
          <w:rFonts w:ascii="FangSong_GB2312" w:hAnsi="FangSong_GB2312" w:eastAsia="FangSong_GB2312" w:cs="FangSong_GB2312"/>
          <w:color w:val="000AFF"/>
          <w:kern w:val="0"/>
          <w:sz w:val="32"/>
          <w:szCs w:val="32"/>
        </w:rPr>
        <w:t>为</w:t>
      </w:r>
      <w:r>
        <w:rPr>
          <w:rFonts w:eastAsia="Times New Roman"/>
          <w:color w:val="000AFF"/>
          <w:kern w:val="0"/>
          <w:sz w:val="32"/>
          <w:szCs w:val="32"/>
          <w:shd w:val="clear" w:color="auto" w:fill="FFFDFD"/>
          <w:lang w:eastAsia="en-US"/>
        </w:rPr>
        <w:t>202X</w:t>
      </w:r>
      <w:r>
        <w:rPr>
          <w:rFonts w:ascii="FangSong_GB2312" w:hAnsi="FangSong_GB2312" w:eastAsia="FangSong_GB2312" w:cs="FangSong_GB2312"/>
          <w:color w:val="000AFF"/>
          <w:kern w:val="0"/>
          <w:sz w:val="32"/>
          <w:szCs w:val="32"/>
        </w:rPr>
        <w:t>年度新设立</w:t>
      </w:r>
      <w:r>
        <w:rPr>
          <w:rFonts w:hint="eastAsia" w:ascii="FangSong_GB2312" w:hAnsi="FangSong_GB2312" w:eastAsia="FangSong_GB2312" w:cs="FangSong_GB2312"/>
          <w:color w:val="000AFF"/>
          <w:kern w:val="0"/>
          <w:sz w:val="32"/>
          <w:szCs w:val="32"/>
          <w:lang w:eastAsia="zh-CN"/>
        </w:rPr>
        <w:t>单位</w:t>
      </w:r>
      <w:r>
        <w:rPr>
          <w:rFonts w:ascii="FangSong_GB2312" w:hAnsi="FangSong_GB2312" w:eastAsia="FangSong_GB2312" w:cs="FangSong_GB2312"/>
          <w:color w:val="000AFF"/>
          <w:kern w:val="0"/>
          <w:sz w:val="32"/>
          <w:szCs w:val="32"/>
        </w:rPr>
        <w:t>，无法与上年决算做对比”。</w:t>
      </w:r>
    </w:p>
    <w:p w14:paraId="58A3FDE1">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w:t>
      </w:r>
      <w:r>
        <w:rPr>
          <w:rFonts w:hint="eastAsia" w:ascii="黑体" w:hAnsi="黑体" w:eastAsia="黑体" w:cs="黑体"/>
          <w:b/>
          <w:bCs/>
          <w:kern w:val="0"/>
          <w:sz w:val="32"/>
          <w:szCs w:val="32"/>
          <w:lang w:eastAsia="zh-CN"/>
        </w:rPr>
        <w:t>单位</w:t>
      </w:r>
      <w:r>
        <w:rPr>
          <w:rFonts w:ascii="黑体" w:hAnsi="黑体" w:eastAsia="黑体" w:cs="黑体"/>
          <w:b/>
          <w:bCs/>
          <w:kern w:val="0"/>
          <w:sz w:val="32"/>
          <w:szCs w:val="32"/>
        </w:rPr>
        <w:t>机构设置及决算单位构成情况</w:t>
      </w:r>
    </w:p>
    <w:p w14:paraId="432D94EB">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rPr>
        <w:t>1.根据</w:t>
      </w:r>
      <w:r>
        <w:rPr>
          <w:rFonts w:hint="eastAsia" w:ascii="仿宋" w:hAnsi="仿宋" w:eastAsia="仿宋" w:cs="仿宋"/>
          <w:sz w:val="31"/>
          <w:szCs w:val="31"/>
          <w:lang w:eastAsia="zh-CN"/>
        </w:rPr>
        <w:t>单位</w:t>
      </w:r>
      <w:r>
        <w:rPr>
          <w:rFonts w:hint="eastAsia" w:ascii="仿宋" w:hAnsi="仿宋" w:eastAsia="仿宋" w:cs="仿宋"/>
          <w:sz w:val="31"/>
          <w:szCs w:val="31"/>
        </w:rPr>
        <w:t>职责分工，本</w:t>
      </w:r>
      <w:r>
        <w:rPr>
          <w:rFonts w:hint="eastAsia" w:ascii="仿宋" w:hAnsi="仿宋" w:eastAsia="仿宋" w:cs="仿宋"/>
          <w:sz w:val="31"/>
          <w:szCs w:val="31"/>
          <w:lang w:eastAsia="zh-CN"/>
        </w:rPr>
        <w:t>单位</w:t>
      </w:r>
      <w:r>
        <w:rPr>
          <w:rFonts w:hint="eastAsia" w:ascii="仿宋" w:hAnsi="仿宋" w:eastAsia="仿宋" w:cs="仿宋"/>
          <w:sz w:val="31"/>
          <w:szCs w:val="31"/>
        </w:rPr>
        <w:t>内设机构包括括办公室、创编室、声器乐队、舞蹈队，舞美队、乐器队、网上乌兰牧骑。本单位无下属单位。</w:t>
      </w:r>
    </w:p>
    <w:p w14:paraId="2247DB22">
      <w:pPr>
        <w:spacing w:line="600" w:lineRule="exact"/>
        <w:ind w:firstLine="620" w:firstLineChars="200"/>
        <w:contextualSpacing/>
        <w:rPr>
          <w:rFonts w:hint="eastAsia" w:ascii="仿宋_GB2312" w:hAnsi="仿宋_GB2312" w:eastAsia="仿宋_GB2312" w:cs="仿宋_GB2312"/>
          <w:kern w:val="2"/>
          <w:sz w:val="32"/>
          <w:u w:val="none"/>
        </w:rPr>
      </w:pPr>
      <w:r>
        <w:rPr>
          <w:rFonts w:hint="eastAsia" w:ascii="仿宋" w:hAnsi="仿宋" w:eastAsia="仿宋" w:cs="仿宋"/>
          <w:sz w:val="31"/>
          <w:szCs w:val="31"/>
        </w:rPr>
        <w:t>2.从决算单位构成看，纳入本</w:t>
      </w:r>
      <w:r>
        <w:rPr>
          <w:rFonts w:hint="eastAsia" w:ascii="仿宋" w:hAnsi="仿宋" w:eastAsia="仿宋" w:cs="仿宋"/>
          <w:sz w:val="31"/>
          <w:szCs w:val="31"/>
          <w:lang w:eastAsia="zh-CN"/>
        </w:rPr>
        <w:t>单位</w:t>
      </w:r>
      <w:r>
        <w:rPr>
          <w:rFonts w:hint="eastAsia" w:ascii="仿宋" w:hAnsi="仿宋" w:eastAsia="仿宋" w:cs="仿宋"/>
          <w:sz w:val="31"/>
          <w:szCs w:val="31"/>
        </w:rPr>
        <w:t>决算编制范围的预算单位共计</w:t>
      </w:r>
      <w:r>
        <w:rPr>
          <w:rFonts w:hint="eastAsia" w:ascii="仿宋" w:hAnsi="仿宋" w:eastAsia="仿宋" w:cs="仿宋"/>
          <w:sz w:val="31"/>
          <w:szCs w:val="31"/>
          <w:lang w:val="en-US" w:eastAsia="zh-CN"/>
        </w:rPr>
        <w:t>1</w:t>
      </w:r>
      <w:r>
        <w:rPr>
          <w:rFonts w:hint="eastAsia" w:ascii="仿宋" w:hAnsi="仿宋" w:eastAsia="仿宋" w:cs="仿宋"/>
          <w:sz w:val="31"/>
          <w:szCs w:val="31"/>
        </w:rPr>
        <w:t>家，具体包括：</w:t>
      </w:r>
      <w:r>
        <w:rPr>
          <w:rFonts w:hint="eastAsia" w:ascii="仿宋" w:hAnsi="仿宋" w:eastAsia="仿宋" w:cs="仿宋"/>
          <w:sz w:val="31"/>
          <w:szCs w:val="31"/>
          <w:lang w:val="en-US" w:eastAsia="zh-CN"/>
        </w:rPr>
        <w:t>乌海乌兰牧骑</w:t>
      </w:r>
      <w:r>
        <w:rPr>
          <w:rFonts w:hint="eastAsia" w:ascii="仿宋" w:hAnsi="仿宋" w:eastAsia="仿宋" w:cs="仿宋"/>
          <w:sz w:val="31"/>
          <w:szCs w:val="31"/>
        </w:rPr>
        <w:t>。详细情况见表：</w:t>
      </w:r>
    </w:p>
    <w:tbl>
      <w:tblPr>
        <w:tblStyle w:val="1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
        <w:gridCol w:w="2963"/>
        <w:gridCol w:w="4600"/>
      </w:tblGrid>
      <w:tr w14:paraId="6FA1D7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1CBB0C29">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序号</w:t>
            </w:r>
          </w:p>
        </w:tc>
        <w:tc>
          <w:tcPr>
            <w:tcW w:w="2963" w:type="dxa"/>
            <w:tcBorders>
              <w:top w:val="single" w:color="auto" w:sz="6" w:space="0"/>
              <w:left w:val="single" w:color="auto" w:sz="6" w:space="0"/>
              <w:bottom w:val="single" w:color="auto" w:sz="6" w:space="0"/>
              <w:right w:val="single" w:color="auto" w:sz="6" w:space="0"/>
            </w:tcBorders>
            <w:noWrap w:val="0"/>
            <w:vAlign w:val="top"/>
          </w:tcPr>
          <w:p w14:paraId="658418C7">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单位名称</w:t>
            </w:r>
          </w:p>
        </w:tc>
        <w:tc>
          <w:tcPr>
            <w:tcW w:w="4600" w:type="dxa"/>
            <w:tcBorders>
              <w:top w:val="single" w:color="auto" w:sz="6" w:space="0"/>
              <w:left w:val="single" w:color="auto" w:sz="6" w:space="0"/>
              <w:bottom w:val="single" w:color="auto" w:sz="6" w:space="0"/>
              <w:right w:val="single" w:color="auto" w:sz="6" w:space="0"/>
            </w:tcBorders>
            <w:noWrap w:val="0"/>
            <w:vAlign w:val="top"/>
          </w:tcPr>
          <w:p w14:paraId="19044DA5">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单位性质</w:t>
            </w:r>
          </w:p>
        </w:tc>
      </w:tr>
      <w:tr w14:paraId="20A8DD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5A3CBC46">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w:t>
            </w:r>
          </w:p>
        </w:tc>
        <w:tc>
          <w:tcPr>
            <w:tcW w:w="2963" w:type="dxa"/>
            <w:tcBorders>
              <w:top w:val="single" w:color="auto" w:sz="6" w:space="0"/>
              <w:left w:val="single" w:color="auto" w:sz="6" w:space="0"/>
              <w:bottom w:val="single" w:color="auto" w:sz="6" w:space="0"/>
              <w:right w:val="single" w:color="auto" w:sz="6" w:space="0"/>
            </w:tcBorders>
            <w:noWrap w:val="0"/>
            <w:vAlign w:val="top"/>
          </w:tcPr>
          <w:p w14:paraId="692CB857">
            <w:pPr>
              <w:rPr>
                <w:rFonts w:hint="eastAsia" w:ascii="仿宋_GB2312" w:hAnsi="仿宋_GB2312" w:eastAsia="仿宋_GB2312" w:cs="仿宋_GB2312"/>
                <w:color w:val="000000"/>
                <w:sz w:val="32"/>
                <w:szCs w:val="32"/>
                <w:u w:val="none"/>
                <w:lang w:val="en-US" w:eastAsia="zh-CN"/>
              </w:rPr>
            </w:pPr>
            <w:r>
              <w:rPr>
                <w:rFonts w:hint="eastAsia" w:hAnsi="仿宋_GB2312" w:cs="仿宋_GB2312"/>
                <w:color w:val="000000"/>
                <w:sz w:val="32"/>
                <w:szCs w:val="32"/>
                <w:u w:val="none"/>
                <w:lang w:val="en-US" w:eastAsia="zh-CN"/>
              </w:rPr>
              <w:t>乌海乌兰牧骑</w:t>
            </w:r>
          </w:p>
        </w:tc>
        <w:tc>
          <w:tcPr>
            <w:tcW w:w="4600" w:type="dxa"/>
            <w:tcBorders>
              <w:top w:val="single" w:color="auto" w:sz="6" w:space="0"/>
              <w:left w:val="single" w:color="auto" w:sz="6" w:space="0"/>
              <w:bottom w:val="single" w:color="auto" w:sz="6" w:space="0"/>
              <w:right w:val="single" w:color="auto" w:sz="6" w:space="0"/>
            </w:tcBorders>
            <w:noWrap w:val="0"/>
            <w:vAlign w:val="top"/>
          </w:tcPr>
          <w:p w14:paraId="0FBF8142">
            <w:pPr>
              <w:rPr>
                <w:rFonts w:hint="eastAsia" w:ascii="仿宋_GB2312" w:hAnsi="仿宋_GB2312" w:eastAsia="仿宋_GB2312" w:cs="仿宋_GB2312"/>
                <w:color w:val="000000"/>
                <w:sz w:val="32"/>
                <w:szCs w:val="32"/>
                <w:u w:val="none"/>
              </w:rPr>
            </w:pPr>
            <w:r>
              <w:rPr>
                <w:rFonts w:hint="eastAsia" w:hAnsi="仿宋_GB2312" w:cs="仿宋_GB2312"/>
                <w:color w:val="000000"/>
                <w:sz w:val="32"/>
                <w:szCs w:val="32"/>
                <w:u w:val="none"/>
                <w:lang w:val="en-US" w:eastAsia="zh-CN"/>
              </w:rPr>
              <w:t>公益一类事业</w:t>
            </w:r>
            <w:r>
              <w:rPr>
                <w:rFonts w:hint="eastAsia" w:ascii="仿宋_GB2312" w:hAnsi="仿宋_GB2312" w:eastAsia="仿宋_GB2312" w:cs="仿宋_GB2312"/>
                <w:color w:val="000000"/>
                <w:sz w:val="32"/>
                <w:szCs w:val="32"/>
                <w:u w:val="none"/>
              </w:rPr>
              <w:t>单位</w:t>
            </w:r>
          </w:p>
        </w:tc>
      </w:tr>
    </w:tbl>
    <w:p w14:paraId="2212E106">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w:t>
      </w:r>
      <w:r>
        <w:rPr>
          <w:rFonts w:hint="eastAsia" w:ascii="黑体" w:hAnsi="黑体" w:eastAsia="黑体" w:cs="黑体"/>
          <w:b/>
          <w:bCs/>
          <w:kern w:val="0"/>
          <w:sz w:val="32"/>
          <w:szCs w:val="32"/>
          <w:lang w:eastAsia="zh-CN"/>
        </w:rPr>
        <w:t>单位</w:t>
      </w:r>
      <w:r>
        <w:rPr>
          <w:rFonts w:ascii="黑体" w:hAnsi="黑体" w:eastAsia="黑体" w:cs="黑体"/>
          <w:b/>
          <w:bCs/>
          <w:kern w:val="0"/>
          <w:sz w:val="32"/>
          <w:szCs w:val="32"/>
        </w:rPr>
        <w:t>主要工作完成情况</w:t>
      </w:r>
    </w:p>
    <w:p w14:paraId="0494E6F7">
      <w:pPr>
        <w:pStyle w:val="28"/>
        <w:widowControl/>
        <w:spacing w:before="240" w:after="240" w:line="600" w:lineRule="atLeast"/>
        <w:ind w:firstLine="640"/>
        <w:jc w:val="left"/>
        <w:rPr>
          <w:rFonts w:ascii="Times New Roman" w:hAnsi="Times New Roman" w:eastAsia="Times New Roman" w:cs="Times New Roman"/>
          <w:kern w:val="0"/>
          <w:sz w:val="24"/>
        </w:rPr>
      </w:pPr>
      <w:r>
        <w:rPr>
          <w:rFonts w:ascii="Times New Roman" w:hAnsi="Times New Roman" w:eastAsia="Times New Roman" w:cs="Times New Roman"/>
          <w:color w:val="000AFF"/>
          <w:kern w:val="0"/>
          <w:sz w:val="32"/>
          <w:szCs w:val="32"/>
          <w:lang w:eastAsia="en-US"/>
        </w:rPr>
        <w:t>……</w:t>
      </w:r>
    </w:p>
    <w:p w14:paraId="6BB3BEB4">
      <w:pPr>
        <w:pStyle w:val="28"/>
        <w:widowControl/>
        <w:spacing w:before="240" w:after="240" w:line="60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color w:val="000AFF"/>
          <w:kern w:val="0"/>
          <w:sz w:val="32"/>
          <w:szCs w:val="32"/>
        </w:rPr>
        <w:t>（根据本年度</w:t>
      </w:r>
      <w:r>
        <w:rPr>
          <w:rFonts w:hint="eastAsia" w:ascii="FangSong_GB2312" w:hAnsi="FangSong_GB2312" w:eastAsia="FangSong_GB2312" w:cs="FangSong_GB2312"/>
          <w:color w:val="000AFF"/>
          <w:kern w:val="0"/>
          <w:sz w:val="32"/>
          <w:szCs w:val="32"/>
          <w:lang w:eastAsia="zh-CN"/>
        </w:rPr>
        <w:t>单位</w:t>
      </w:r>
      <w:r>
        <w:rPr>
          <w:rFonts w:ascii="FangSong_GB2312" w:hAnsi="FangSong_GB2312" w:eastAsia="FangSong_GB2312" w:cs="FangSong_GB2312"/>
          <w:color w:val="000AFF"/>
          <w:kern w:val="0"/>
          <w:sz w:val="32"/>
          <w:szCs w:val="32"/>
        </w:rPr>
        <w:t>工作计划及完成情况进行表述）</w:t>
      </w:r>
    </w:p>
    <w:p w14:paraId="30B0F315">
      <w:pPr>
        <w:widowControl/>
        <w:spacing w:before="240" w:after="240"/>
        <w:jc w:val="left"/>
        <w:rPr>
          <w:rFonts w:ascii="Times New Roman" w:hAnsi="Times New Roman" w:eastAsia="Times New Roman" w:cs="Times New Roman"/>
          <w:kern w:val="0"/>
          <w:sz w:val="24"/>
        </w:rPr>
      </w:pPr>
    </w:p>
    <w:p w14:paraId="7939E87E">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hint="eastAsia" w:ascii="方正小标宋简体" w:hAnsi="方正小标宋简体" w:eastAsia="方正小标宋简体" w:cs="方正小标宋简体"/>
          <w:kern w:val="0"/>
          <w:sz w:val="36"/>
          <w:szCs w:val="36"/>
          <w:lang w:eastAsia="zh-CN"/>
        </w:rPr>
        <w:t>单位</w:t>
      </w:r>
      <w:r>
        <w:rPr>
          <w:rFonts w:ascii="方正小标宋简体" w:hAnsi="方正小标宋简体" w:eastAsia="方正小标宋简体" w:cs="方正小标宋简体"/>
          <w:kern w:val="0"/>
          <w:sz w:val="36"/>
          <w:szCs w:val="36"/>
        </w:rPr>
        <w:t>决算情况说明</w:t>
      </w:r>
    </w:p>
    <w:p w14:paraId="5CAA724F">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46509D2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乌海乌兰牧骑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万元。与年初预算相比，收、支总计各增加（减少）</w:t>
      </w:r>
      <w:r>
        <w:rPr>
          <w:rFonts w:eastAsia="Times New Roman"/>
          <w:kern w:val="0"/>
          <w:sz w:val="32"/>
          <w:szCs w:val="32"/>
          <w:u w:val="single"/>
          <w:lang w:eastAsia="en-US"/>
        </w:rPr>
        <w:t xml:space="preserve"> -86.14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-7.85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283.34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38.96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43D154D1">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1010.56</w:t>
      </w:r>
      <w:r>
        <w:rPr>
          <w:rFonts w:ascii="楷体" w:hAnsi="楷体" w:eastAsia="楷体" w:cs="楷体"/>
          <w:b/>
          <w:bCs/>
          <w:kern w:val="0"/>
          <w:sz w:val="32"/>
          <w:szCs w:val="32"/>
        </w:rPr>
        <w:t>万元。包括：</w:t>
      </w:r>
    </w:p>
    <w:p w14:paraId="0ED7F57D">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283.34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38.96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我单位本年度收到上级专项资金2025年中央公共文化资金等项目，因此较上年决算增加</w:t>
      </w:r>
      <w:r>
        <w:rPr>
          <w:rFonts w:ascii="FangSong_GB2312" w:hAnsi="FangSong_GB2312" w:eastAsia="FangSong_GB2312" w:cs="FangSong_GB2312"/>
          <w:kern w:val="0"/>
          <w:sz w:val="32"/>
          <w:szCs w:val="32"/>
        </w:rPr>
        <w:t>。</w:t>
      </w:r>
    </w:p>
    <w:p w14:paraId="01ADA74E">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10432D0B">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13EA45F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1010.56</w:t>
      </w:r>
      <w:r>
        <w:rPr>
          <w:rFonts w:ascii="楷体" w:hAnsi="楷体" w:eastAsia="楷体" w:cs="楷体"/>
          <w:b/>
          <w:bCs/>
          <w:kern w:val="0"/>
          <w:sz w:val="32"/>
          <w:szCs w:val="32"/>
        </w:rPr>
        <w:t>万元。包括：</w:t>
      </w:r>
    </w:p>
    <w:p w14:paraId="3037BC70">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283.34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38.96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我单位本年度收到上级专项资金2025年中央公共文化资金等项目，因此较上年决算增加</w:t>
      </w:r>
      <w:r>
        <w:rPr>
          <w:rFonts w:ascii="FangSong_GB2312" w:hAnsi="FangSong_GB2312" w:eastAsia="FangSong_GB2312" w:cs="FangSong_GB2312"/>
          <w:kern w:val="0"/>
          <w:sz w:val="32"/>
          <w:szCs w:val="32"/>
        </w:rPr>
        <w:t>。</w:t>
      </w:r>
    </w:p>
    <w:p w14:paraId="41C0F3C9">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万元。结余分配事项：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11F845BB">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6F8E20A4">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392BD88C">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乌海乌兰牧骑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万元，其中：</w:t>
      </w:r>
    </w:p>
    <w:p w14:paraId="12DCC8D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1A5E39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8FC50E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5CF4AF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692A0A8">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BC33AA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B674AB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63FCE0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57DA46E">
      <w:pPr>
        <w:widowControl/>
        <w:spacing w:before="240" w:after="240"/>
        <w:jc w:val="center"/>
        <w:rPr>
          <w:rFonts w:ascii="Times New Roman" w:hAnsi="Times New Roman" w:eastAsia="Times New Roman" w:cs="Times New Roman"/>
          <w:kern w:val="0"/>
          <w:sz w:val="24"/>
        </w:rPr>
      </w:pPr>
      <w:bookmarkStart w:id="1" w:name="_GoBack"/>
      <w:r>
        <w:rPr>
          <w:rFonts w:ascii="Times New Roman" w:hAnsi="Times New Roman" w:eastAsia="Times New Roman" w:cs="Times New Roman"/>
          <w:strike w:val="0"/>
          <w:kern w:val="0"/>
          <w:sz w:val="24"/>
          <w:u w:val="none"/>
        </w:rPr>
        <w:drawing>
          <wp:inline distT="0" distB="0" distL="114300" distR="114300">
            <wp:extent cx="3931920" cy="2458085"/>
            <wp:effectExtent l="0" t="0" r="1143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931920" cy="2458085"/>
                    </a:xfrm>
                    <a:prstGeom prst="rect">
                      <a:avLst/>
                    </a:prstGeom>
                    <a:noFill/>
                    <a:ln>
                      <a:noFill/>
                    </a:ln>
                  </pic:spPr>
                </pic:pic>
              </a:graphicData>
            </a:graphic>
          </wp:inline>
        </w:drawing>
      </w:r>
      <w:bookmarkEnd w:id="1"/>
      <w:r>
        <w:rPr>
          <w:rFonts w:ascii="Times New Roman" w:hAnsi="Times New Roman" w:eastAsia="Times New Roman" w:cs="Times New Roman"/>
          <w:kern w:val="0"/>
          <w:sz w:val="24"/>
        </w:rPr>
        <w:t xml:space="preserve">   </w:t>
      </w:r>
    </w:p>
    <w:p w14:paraId="38D69459">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137337D6">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7DA27C6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万元，其中：</w:t>
      </w:r>
    </w:p>
    <w:p w14:paraId="4EE72E4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196.66</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19.46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5D8523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813.90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80.54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28DBD3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670477C7">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3395BE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6B2137C">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380355" cy="3362960"/>
            <wp:effectExtent l="0" t="0" r="1079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380355" cy="336296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5BFF235D">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399A1FBE">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754EE1B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-86.14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-7.85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283.34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38.96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我单位本年度收到上级专项资金2025年中央公共文化资金等项目，因此较上年决算增加</w:t>
      </w:r>
      <w:r>
        <w:rPr>
          <w:rFonts w:ascii="FangSong_GB2312" w:hAnsi="FangSong_GB2312" w:eastAsia="FangSong_GB2312" w:cs="FangSong_GB2312"/>
          <w:kern w:val="0"/>
          <w:sz w:val="32"/>
          <w:szCs w:val="32"/>
        </w:rPr>
        <w:t>。</w:t>
      </w:r>
    </w:p>
    <w:p w14:paraId="33A07533">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42D59B4C">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1010.56</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1096.70</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92.15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576E4C37">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14:paraId="6B3CB358">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一般公共服务（类）决算数为</w:t>
      </w:r>
      <w:r>
        <w:rPr>
          <w:rFonts w:eastAsia="Times New Roman"/>
          <w:kern w:val="0"/>
          <w:sz w:val="32"/>
          <w:szCs w:val="32"/>
          <w:u w:val="single"/>
          <w:lang w:eastAsia="en-US"/>
        </w:rPr>
        <w:t xml:space="preserve"> 2.53</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xml:space="preserve"> -0.0</w:t>
      </w:r>
      <w:r>
        <w:rPr>
          <w:rFonts w:hint="eastAsia"/>
          <w:kern w:val="0"/>
          <w:sz w:val="32"/>
          <w:szCs w:val="32"/>
          <w:u w:val="single"/>
          <w:lang w:val="en-US" w:eastAsia="zh-CN"/>
        </w:rPr>
        <w:t>6</w:t>
      </w:r>
      <w:r>
        <w:rPr>
          <w:rFonts w:ascii="FangSong_GB2312" w:hAnsi="FangSong_GB2312" w:eastAsia="FangSong_GB2312" w:cs="FangSong_GB2312"/>
          <w:kern w:val="0"/>
          <w:sz w:val="32"/>
          <w:szCs w:val="32"/>
        </w:rPr>
        <w:t>万元。其中：</w:t>
      </w:r>
    </w:p>
    <w:p w14:paraId="721D7B91">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群众团体事务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其他群众团体事务支出</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2.59</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2.53</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97.68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该项目为我单位工会经费，按照实际支出，因此较年初预算减少</w:t>
      </w:r>
      <w:r>
        <w:rPr>
          <w:rFonts w:ascii="FangSong_GB2312" w:hAnsi="FangSong_GB2312" w:eastAsia="FangSong_GB2312" w:cs="FangSong_GB2312"/>
          <w:kern w:val="0"/>
          <w:sz w:val="32"/>
          <w:szCs w:val="32"/>
        </w:rPr>
        <w:t>。</w:t>
      </w:r>
    </w:p>
    <w:p w14:paraId="0E2D73BF">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w:t>
      </w:r>
      <w:r>
        <w:rPr>
          <w:rFonts w:hint="eastAsia" w:ascii="楷体" w:hAnsi="楷体" w:eastAsia="楷体" w:cs="楷体"/>
          <w:b/>
          <w:bCs/>
          <w:kern w:val="0"/>
          <w:sz w:val="32"/>
          <w:szCs w:val="32"/>
        </w:rPr>
        <w:t>文化旅游体育与传媒支出</w:t>
      </w:r>
      <w:r>
        <w:rPr>
          <w:rFonts w:ascii="楷体" w:hAnsi="楷体" w:eastAsia="楷体" w:cs="楷体"/>
          <w:b/>
          <w:bCs/>
          <w:kern w:val="0"/>
          <w:sz w:val="32"/>
          <w:szCs w:val="32"/>
        </w:rPr>
        <w:t>（类）</w:t>
      </w:r>
    </w:p>
    <w:p w14:paraId="79234A6C">
      <w:pPr>
        <w:pStyle w:val="28"/>
        <w:widowControl/>
        <w:spacing w:before="240" w:after="240" w:line="560" w:lineRule="atLeast"/>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rPr>
        <w:t>文化旅游体育与传媒支出</w:t>
      </w:r>
      <w:r>
        <w:rPr>
          <w:rFonts w:ascii="FangSong_GB2312" w:hAnsi="FangSong_GB2312" w:eastAsia="FangSong_GB2312" w:cs="FangSong_GB2312"/>
          <w:kern w:val="0"/>
          <w:sz w:val="32"/>
          <w:szCs w:val="32"/>
        </w:rPr>
        <w:t>（类）决算数为</w:t>
      </w:r>
      <w:r>
        <w:rPr>
          <w:rFonts w:hint="eastAsia"/>
          <w:kern w:val="0"/>
          <w:sz w:val="32"/>
          <w:szCs w:val="32"/>
          <w:u w:val="single"/>
          <w:lang w:val="en-US" w:eastAsia="zh-CN"/>
        </w:rPr>
        <w:t>956.43</w:t>
      </w:r>
      <w:r>
        <w:rPr>
          <w:rFonts w:ascii="FangSong_GB2312" w:hAnsi="FangSong_GB2312" w:eastAsia="FangSong_GB2312" w:cs="FangSong_GB2312"/>
          <w:kern w:val="0"/>
          <w:sz w:val="32"/>
          <w:szCs w:val="32"/>
        </w:rPr>
        <w:t>万元，与年初预算相比减少</w:t>
      </w:r>
      <w:r>
        <w:rPr>
          <w:rFonts w:hint="eastAsia" w:ascii="FangSong_GB2312" w:hAnsi="FangSong_GB2312" w:eastAsia="FangSong_GB2312" w:cs="FangSong_GB2312"/>
          <w:kern w:val="0"/>
          <w:sz w:val="32"/>
          <w:szCs w:val="32"/>
          <w:lang w:val="en-US" w:eastAsia="zh-CN"/>
        </w:rPr>
        <w:t>-</w:t>
      </w:r>
      <w:r>
        <w:rPr>
          <w:rFonts w:hint="eastAsia"/>
          <w:kern w:val="0"/>
          <w:sz w:val="32"/>
          <w:szCs w:val="32"/>
          <w:u w:val="single"/>
          <w:lang w:val="en-US" w:eastAsia="zh-CN"/>
        </w:rPr>
        <w:t>2139.06</w:t>
      </w:r>
      <w:r>
        <w:rPr>
          <w:rFonts w:ascii="FangSong_GB2312" w:hAnsi="FangSong_GB2312" w:eastAsia="FangSong_GB2312" w:cs="FangSong_GB2312"/>
          <w:kern w:val="0"/>
          <w:sz w:val="32"/>
          <w:szCs w:val="32"/>
        </w:rPr>
        <w:t>万元。其中：</w:t>
      </w:r>
    </w:p>
    <w:p w14:paraId="21717D5F">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文化和旅游</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艺术表演团体</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575.64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466.01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80.96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w:t>
      </w:r>
    </w:p>
    <w:p w14:paraId="5702608A">
      <w:pPr>
        <w:pStyle w:val="28"/>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2</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其他文化旅游体育与传媒支出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其他文化旅游体育与传媒支出</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2513.85</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490.41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19.51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w:t>
      </w:r>
    </w:p>
    <w:p w14:paraId="1678BA9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（三）社会保障和就业支出（类）</w:t>
      </w:r>
    </w:p>
    <w:p w14:paraId="57D536E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24.57</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-10.28</w:t>
      </w:r>
      <w:r>
        <w:rPr>
          <w:rFonts w:ascii="FangSong_GB2312" w:hAnsi="FangSong_GB2312" w:eastAsia="FangSong_GB2312" w:cs="FangSong_GB2312"/>
          <w:kern w:val="0"/>
          <w:sz w:val="32"/>
          <w:szCs w:val="32"/>
        </w:rPr>
        <w:t>万元。其中：</w:t>
      </w:r>
    </w:p>
    <w:p w14:paraId="2156FFE6">
      <w:pPr>
        <w:pStyle w:val="28"/>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1</w:t>
      </w:r>
      <w:r>
        <w:rPr>
          <w:rFonts w:ascii="FangSong_GB2312" w:hAnsi="FangSong_GB2312" w:eastAsia="FangSong_GB2312" w:cs="FangSong_GB2312"/>
          <w:kern w:val="0"/>
          <w:sz w:val="32"/>
          <w:szCs w:val="32"/>
        </w:rPr>
        <w:t>．行政事业单位养老支出（款）事业单位离退休（项）。年初预算</w:t>
      </w:r>
      <w:r>
        <w:rPr>
          <w:rFonts w:hint="eastAsia"/>
          <w:kern w:val="0"/>
          <w:sz w:val="32"/>
          <w:szCs w:val="32"/>
          <w:u w:val="single"/>
          <w:lang w:val="en-US" w:eastAsia="zh-CN"/>
        </w:rPr>
        <w:t>6.84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6.65</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97.22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我单位本年度根据实际退休人员发放退休基础绩效奖，因此较年初预算减少</w:t>
      </w:r>
      <w:r>
        <w:rPr>
          <w:rFonts w:ascii="FangSong_GB2312" w:hAnsi="FangSong_GB2312" w:eastAsia="FangSong_GB2312" w:cs="FangSong_GB2312"/>
          <w:kern w:val="0"/>
          <w:sz w:val="32"/>
          <w:szCs w:val="32"/>
        </w:rPr>
        <w:t>。</w:t>
      </w:r>
    </w:p>
    <w:p w14:paraId="12EBC4DB">
      <w:pPr>
        <w:pStyle w:val="28"/>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2</w:t>
      </w:r>
      <w:r>
        <w:rPr>
          <w:rFonts w:ascii="FangSong_GB2312" w:hAnsi="FangSong_GB2312" w:eastAsia="FangSong_GB2312" w:cs="FangSong_GB2312"/>
          <w:kern w:val="0"/>
          <w:sz w:val="32"/>
          <w:szCs w:val="32"/>
        </w:rPr>
        <w:t>．行政事业单位养老支出（款）机关事业单位职业年金缴费支出（项）。年初预算</w:t>
      </w:r>
      <w:r>
        <w:rPr>
          <w:rFonts w:hint="eastAsia"/>
          <w:kern w:val="0"/>
          <w:sz w:val="32"/>
          <w:szCs w:val="32"/>
          <w:u w:val="single"/>
          <w:lang w:val="en-US" w:eastAsia="zh-CN"/>
        </w:rPr>
        <w:t>19.30</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17.92</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92.85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我单位本年度人员变动，因此较年初预算减少</w:t>
      </w:r>
      <w:r>
        <w:rPr>
          <w:rFonts w:ascii="FangSong_GB2312" w:hAnsi="FangSong_GB2312" w:eastAsia="FangSong_GB2312" w:cs="FangSong_GB2312"/>
          <w:kern w:val="0"/>
          <w:sz w:val="32"/>
          <w:szCs w:val="32"/>
        </w:rPr>
        <w:t>。</w:t>
      </w:r>
    </w:p>
    <w:p w14:paraId="5C9F3B7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（四）卫生健康支出（类）</w:t>
      </w:r>
    </w:p>
    <w:p w14:paraId="333C7140">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8.88</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 -1.66</w:t>
      </w:r>
      <w:r>
        <w:rPr>
          <w:rFonts w:ascii="FangSong_GB2312" w:hAnsi="FangSong_GB2312" w:eastAsia="FangSong_GB2312" w:cs="FangSong_GB2312"/>
          <w:kern w:val="0"/>
          <w:sz w:val="32"/>
          <w:szCs w:val="32"/>
        </w:rPr>
        <w:t>万元。其中：</w:t>
      </w:r>
    </w:p>
    <w:p w14:paraId="51C61B1C">
      <w:pPr>
        <w:pStyle w:val="28"/>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1</w:t>
      </w:r>
      <w:r>
        <w:rPr>
          <w:rFonts w:ascii="FangSong_GB2312" w:hAnsi="FangSong_GB2312" w:eastAsia="FangSong_GB2312" w:cs="FangSong_GB2312"/>
          <w:kern w:val="0"/>
          <w:sz w:val="32"/>
          <w:szCs w:val="32"/>
        </w:rPr>
        <w:t>．行政事业单位医疗（款）事业单位医疗（项）。年初预算</w:t>
      </w:r>
      <w:r>
        <w:rPr>
          <w:rFonts w:hint="eastAsia"/>
          <w:kern w:val="0"/>
          <w:sz w:val="32"/>
          <w:szCs w:val="32"/>
          <w:u w:val="single"/>
          <w:lang w:val="en-US" w:eastAsia="zh-CN"/>
        </w:rPr>
        <w:t>11.02</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8.88</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80.58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我单位本年度人员变动，因此较年初预算减少</w:t>
      </w:r>
      <w:r>
        <w:rPr>
          <w:rFonts w:ascii="FangSong_GB2312" w:hAnsi="FangSong_GB2312" w:eastAsia="FangSong_GB2312" w:cs="FangSong_GB2312"/>
          <w:kern w:val="0"/>
          <w:sz w:val="32"/>
          <w:szCs w:val="32"/>
        </w:rPr>
        <w:t>。</w:t>
      </w:r>
    </w:p>
    <w:p w14:paraId="2E648A86">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（五）住房保障支出（类）</w:t>
      </w:r>
    </w:p>
    <w:p w14:paraId="6AE8F9FC">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18.16</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1.29</w:t>
      </w:r>
      <w:r>
        <w:rPr>
          <w:rFonts w:ascii="FangSong_GB2312" w:hAnsi="FangSong_GB2312" w:eastAsia="FangSong_GB2312" w:cs="FangSong_GB2312"/>
          <w:kern w:val="0"/>
          <w:sz w:val="32"/>
          <w:szCs w:val="32"/>
        </w:rPr>
        <w:t>万元。其中：</w:t>
      </w:r>
    </w:p>
    <w:p w14:paraId="29DE75BB">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．住房改革支出（款）住房公积金（项）。年初预算</w:t>
      </w:r>
      <w:r>
        <w:rPr>
          <w:rFonts w:hint="eastAsia"/>
          <w:kern w:val="0"/>
          <w:sz w:val="32"/>
          <w:szCs w:val="32"/>
          <w:u w:val="single"/>
          <w:lang w:val="en-US" w:eastAsia="zh-CN"/>
        </w:rPr>
        <w:t>17.64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18.16</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我单位本年度补缴职工年休假补贴款等住房公积金，因此较年初预算增加</w:t>
      </w:r>
      <w:r>
        <w:rPr>
          <w:rFonts w:ascii="FangSong_GB2312" w:hAnsi="FangSong_GB2312" w:eastAsia="FangSong_GB2312" w:cs="FangSong_GB2312"/>
          <w:kern w:val="0"/>
          <w:sz w:val="32"/>
          <w:szCs w:val="32"/>
        </w:rPr>
        <w:t>。</w:t>
      </w:r>
    </w:p>
    <w:p w14:paraId="7B9E2A6F">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2FD634C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196.66</w:t>
      </w:r>
      <w:r>
        <w:rPr>
          <w:rFonts w:ascii="FangSong_GB2312" w:hAnsi="FangSong_GB2312" w:eastAsia="FangSong_GB2312" w:cs="FangSong_GB2312"/>
          <w:kern w:val="0"/>
          <w:sz w:val="32"/>
          <w:szCs w:val="32"/>
        </w:rPr>
        <w:t>万元，其中：</w:t>
      </w:r>
    </w:p>
    <w:p w14:paraId="7E732EA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184.61</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w:t>
      </w:r>
      <w:r>
        <w:rPr>
          <w:rFonts w:hint="eastAsia" w:ascii="FangSong_GB2312" w:hAnsi="FangSong_GB2312" w:eastAsia="FangSong_GB2312" w:cs="FangSong_GB2312"/>
          <w:kern w:val="0"/>
          <w:sz w:val="32"/>
          <w:szCs w:val="32"/>
          <w:lang w:val="en-US" w:eastAsia="zh-CN"/>
        </w:rPr>
        <w:t>51.79万元</w:t>
      </w:r>
      <w:r>
        <w:rPr>
          <w:rFonts w:ascii="FangSong_GB2312" w:hAnsi="FangSong_GB2312" w:eastAsia="FangSong_GB2312" w:cs="FangSong_GB2312"/>
          <w:kern w:val="0"/>
          <w:sz w:val="32"/>
          <w:szCs w:val="32"/>
        </w:rPr>
        <w:t>、津贴补贴</w:t>
      </w:r>
      <w:r>
        <w:rPr>
          <w:rFonts w:hint="eastAsia" w:ascii="FangSong_GB2312" w:hAnsi="FangSong_GB2312" w:eastAsia="FangSong_GB2312" w:cs="FangSong_GB2312"/>
          <w:kern w:val="0"/>
          <w:sz w:val="32"/>
          <w:szCs w:val="32"/>
          <w:lang w:val="en-US" w:eastAsia="zh-CN"/>
        </w:rPr>
        <w:t>30.27万元</w:t>
      </w:r>
      <w:r>
        <w:rPr>
          <w:rFonts w:ascii="FangSong_GB2312" w:hAnsi="FangSong_GB2312" w:eastAsia="FangSong_GB2312" w:cs="FangSong_GB2312"/>
          <w:kern w:val="0"/>
          <w:sz w:val="32"/>
          <w:szCs w:val="32"/>
        </w:rPr>
        <w:t>、奖金</w:t>
      </w:r>
      <w:r>
        <w:rPr>
          <w:rFonts w:hint="eastAsia" w:ascii="FangSong_GB2312" w:hAnsi="FangSong_GB2312" w:eastAsia="FangSong_GB2312" w:cs="FangSong_GB2312"/>
          <w:kern w:val="0"/>
          <w:sz w:val="32"/>
          <w:szCs w:val="32"/>
          <w:lang w:val="en-US" w:eastAsia="zh-CN"/>
        </w:rPr>
        <w:t>12.77万元</w:t>
      </w:r>
      <w:r>
        <w:rPr>
          <w:rFonts w:ascii="FangSong_GB2312" w:hAnsi="FangSong_GB2312" w:eastAsia="FangSong_GB2312" w:cs="FangSong_GB2312"/>
          <w:kern w:val="0"/>
          <w:sz w:val="32"/>
          <w:szCs w:val="32"/>
        </w:rPr>
        <w:t>、绩效工资</w:t>
      </w:r>
      <w:r>
        <w:rPr>
          <w:rFonts w:hint="eastAsia" w:ascii="FangSong_GB2312" w:hAnsi="FangSong_GB2312" w:eastAsia="FangSong_GB2312" w:cs="FangSong_GB2312"/>
          <w:kern w:val="0"/>
          <w:sz w:val="32"/>
          <w:szCs w:val="32"/>
          <w:lang w:val="en-US" w:eastAsia="zh-CN"/>
        </w:rPr>
        <w:t>37.66万元</w:t>
      </w:r>
      <w:r>
        <w:rPr>
          <w:rFonts w:ascii="FangSong_GB2312" w:hAnsi="FangSong_GB2312" w:eastAsia="FangSong_GB2312" w:cs="FangSong_GB2312"/>
          <w:kern w:val="0"/>
          <w:sz w:val="32"/>
          <w:szCs w:val="32"/>
        </w:rPr>
        <w:t>、机关事业单位基本养老保险缴费</w:t>
      </w:r>
      <w:r>
        <w:rPr>
          <w:rFonts w:hint="eastAsia" w:ascii="FangSong_GB2312" w:hAnsi="FangSong_GB2312" w:eastAsia="FangSong_GB2312" w:cs="FangSong_GB2312"/>
          <w:kern w:val="0"/>
          <w:sz w:val="32"/>
          <w:szCs w:val="32"/>
          <w:lang w:val="en-US" w:eastAsia="zh-CN"/>
        </w:rPr>
        <w:t>17.92万元</w:t>
      </w:r>
      <w:r>
        <w:rPr>
          <w:rFonts w:ascii="FangSong_GB2312" w:hAnsi="FangSong_GB2312" w:eastAsia="FangSong_GB2312" w:cs="FangSong_GB2312"/>
          <w:kern w:val="0"/>
          <w:sz w:val="32"/>
          <w:szCs w:val="32"/>
        </w:rPr>
        <w:t>、职工基本医疗保险缴费</w:t>
      </w:r>
      <w:r>
        <w:rPr>
          <w:rFonts w:hint="eastAsia" w:ascii="FangSong_GB2312" w:hAnsi="FangSong_GB2312" w:eastAsia="FangSong_GB2312" w:cs="FangSong_GB2312"/>
          <w:kern w:val="0"/>
          <w:sz w:val="32"/>
          <w:szCs w:val="32"/>
          <w:lang w:val="en-US" w:eastAsia="zh-CN"/>
        </w:rPr>
        <w:t>8.88万元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其他社会保障缴费0.63万元、</w:t>
      </w:r>
      <w:r>
        <w:rPr>
          <w:rFonts w:ascii="FangSong_GB2312" w:hAnsi="FangSong_GB2312" w:eastAsia="FangSong_GB2312" w:cs="FangSong_GB2312"/>
          <w:kern w:val="0"/>
          <w:sz w:val="32"/>
          <w:szCs w:val="32"/>
        </w:rPr>
        <w:t>住房公积金</w:t>
      </w:r>
      <w:r>
        <w:rPr>
          <w:rFonts w:hint="eastAsia" w:ascii="FangSong_GB2312" w:hAnsi="FangSong_GB2312" w:eastAsia="FangSong_GB2312" w:cs="FangSong_GB2312"/>
          <w:kern w:val="0"/>
          <w:sz w:val="32"/>
          <w:szCs w:val="32"/>
          <w:lang w:val="en-US" w:eastAsia="zh-CN"/>
        </w:rPr>
        <w:t>18.16万元</w:t>
      </w:r>
      <w:r>
        <w:rPr>
          <w:rFonts w:ascii="FangSong_GB2312" w:hAnsi="FangSong_GB2312" w:eastAsia="FangSong_GB2312" w:cs="FangSong_GB2312"/>
          <w:kern w:val="0"/>
          <w:sz w:val="32"/>
          <w:szCs w:val="32"/>
        </w:rPr>
        <w:t>、退休费</w:t>
      </w:r>
      <w:r>
        <w:rPr>
          <w:rFonts w:hint="eastAsia" w:ascii="FangSong_GB2312" w:hAnsi="FangSong_GB2312" w:eastAsia="FangSong_GB2312" w:cs="FangSong_GB2312"/>
          <w:kern w:val="0"/>
          <w:sz w:val="32"/>
          <w:szCs w:val="32"/>
          <w:lang w:val="en-US" w:eastAsia="zh-CN"/>
        </w:rPr>
        <w:t>6.53万元</w:t>
      </w:r>
      <w:r>
        <w:rPr>
          <w:rFonts w:ascii="FangSong_GB2312" w:hAnsi="FangSong_GB2312" w:eastAsia="FangSong_GB2312" w:cs="FangSong_GB2312"/>
          <w:kern w:val="0"/>
          <w:sz w:val="32"/>
          <w:szCs w:val="32"/>
        </w:rPr>
        <w:t>。</w:t>
      </w:r>
    </w:p>
    <w:p w14:paraId="6A55476A">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12.05</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2.20万元</w:t>
      </w:r>
      <w:r>
        <w:rPr>
          <w:rFonts w:ascii="FangSong_GB2312" w:hAnsi="FangSong_GB2312" w:eastAsia="FangSong_GB2312" w:cs="FangSong_GB2312"/>
          <w:kern w:val="0"/>
          <w:sz w:val="32"/>
          <w:szCs w:val="32"/>
        </w:rPr>
        <w:t>、邮电费</w:t>
      </w:r>
      <w:r>
        <w:rPr>
          <w:rFonts w:hint="eastAsia" w:ascii="FangSong_GB2312" w:hAnsi="FangSong_GB2312" w:eastAsia="FangSong_GB2312" w:cs="FangSong_GB2312"/>
          <w:kern w:val="0"/>
          <w:sz w:val="32"/>
          <w:szCs w:val="32"/>
          <w:lang w:val="en-US" w:eastAsia="zh-CN"/>
        </w:rPr>
        <w:t>0.03万元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2.96万元</w:t>
      </w:r>
      <w:r>
        <w:rPr>
          <w:rFonts w:ascii="FangSong_GB2312" w:hAnsi="FangSong_GB2312" w:eastAsia="FangSong_GB2312" w:cs="FangSong_GB2312"/>
          <w:kern w:val="0"/>
          <w:sz w:val="32"/>
          <w:szCs w:val="32"/>
        </w:rPr>
        <w:t>、工会经费</w:t>
      </w:r>
      <w:r>
        <w:rPr>
          <w:rFonts w:hint="eastAsia" w:ascii="FangSong_GB2312" w:hAnsi="FangSong_GB2312" w:eastAsia="FangSong_GB2312" w:cs="FangSong_GB2312"/>
          <w:kern w:val="0"/>
          <w:sz w:val="32"/>
          <w:szCs w:val="32"/>
          <w:lang w:val="en-US" w:eastAsia="zh-CN"/>
        </w:rPr>
        <w:t>2.53万元</w:t>
      </w:r>
      <w:r>
        <w:rPr>
          <w:rFonts w:ascii="FangSong_GB2312" w:hAnsi="FangSong_GB2312" w:eastAsia="FangSong_GB2312" w:cs="FangSong_GB2312"/>
          <w:kern w:val="0"/>
          <w:sz w:val="32"/>
          <w:szCs w:val="32"/>
        </w:rPr>
        <w:t>、福利费</w:t>
      </w:r>
      <w:r>
        <w:rPr>
          <w:rFonts w:hint="eastAsia" w:ascii="FangSong_GB2312" w:hAnsi="FangSong_GB2312" w:eastAsia="FangSong_GB2312" w:cs="FangSong_GB2312"/>
          <w:kern w:val="0"/>
          <w:sz w:val="32"/>
          <w:szCs w:val="32"/>
          <w:lang w:val="en-US" w:eastAsia="zh-CN"/>
        </w:rPr>
        <w:t>3.40万元</w:t>
      </w:r>
      <w:r>
        <w:rPr>
          <w:rFonts w:ascii="FangSong_GB2312" w:hAnsi="FangSong_GB2312" w:eastAsia="FangSong_GB2312" w:cs="FangSong_GB2312"/>
          <w:kern w:val="0"/>
          <w:sz w:val="32"/>
          <w:szCs w:val="32"/>
        </w:rPr>
        <w:t>、公务用车运行维护费</w:t>
      </w:r>
      <w:r>
        <w:rPr>
          <w:rFonts w:hint="eastAsia" w:ascii="FangSong_GB2312" w:hAnsi="FangSong_GB2312" w:eastAsia="FangSong_GB2312" w:cs="FangSong_GB2312"/>
          <w:kern w:val="0"/>
          <w:sz w:val="32"/>
          <w:szCs w:val="32"/>
          <w:lang w:val="en-US" w:eastAsia="zh-CN"/>
        </w:rPr>
        <w:t>0.81万元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lang w:val="en-US" w:eastAsia="zh-CN"/>
        </w:rPr>
        <w:t>0.12万元</w:t>
      </w:r>
      <w:r>
        <w:rPr>
          <w:rFonts w:ascii="FangSong_GB2312" w:hAnsi="FangSong_GB2312" w:eastAsia="FangSong_GB2312" w:cs="FangSong_GB2312"/>
          <w:kern w:val="0"/>
          <w:sz w:val="32"/>
          <w:szCs w:val="32"/>
        </w:rPr>
        <w:t>。</w:t>
      </w:r>
    </w:p>
    <w:p w14:paraId="7A4E90C5">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1C4FF988">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813.90</w:t>
      </w:r>
      <w:r>
        <w:rPr>
          <w:rFonts w:ascii="FangSong_GB2312" w:hAnsi="FangSong_GB2312" w:eastAsia="FangSong_GB2312" w:cs="FangSong_GB2312"/>
          <w:kern w:val="0"/>
          <w:sz w:val="32"/>
          <w:szCs w:val="32"/>
        </w:rPr>
        <w:t>万元，其中：</w:t>
      </w:r>
    </w:p>
    <w:p w14:paraId="4BDDC25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（一）工资福利支出</w:t>
      </w:r>
      <w:r>
        <w:rPr>
          <w:rFonts w:eastAsia="Times New Roman"/>
          <w:kern w:val="0"/>
          <w:sz w:val="32"/>
          <w:szCs w:val="32"/>
          <w:u w:val="single"/>
          <w:lang w:eastAsia="en-US"/>
        </w:rPr>
        <w:t xml:space="preserve"> 317.95</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主要包括：其他工资福利支出</w:t>
      </w:r>
      <w:r>
        <w:rPr>
          <w:rFonts w:hint="eastAsia" w:ascii="FangSong_GB2312" w:hAnsi="FangSong_GB2312" w:eastAsia="FangSong_GB2312" w:cs="FangSong_GB2312"/>
          <w:kern w:val="0"/>
          <w:sz w:val="32"/>
          <w:szCs w:val="32"/>
          <w:lang w:val="en-US" w:eastAsia="zh-CN"/>
        </w:rPr>
        <w:t>317.95万元</w:t>
      </w:r>
      <w:r>
        <w:rPr>
          <w:rFonts w:ascii="FangSong_GB2312" w:hAnsi="FangSong_GB2312" w:eastAsia="FangSong_GB2312" w:cs="FangSong_GB2312"/>
          <w:kern w:val="0"/>
          <w:sz w:val="32"/>
          <w:szCs w:val="32"/>
        </w:rPr>
        <w:t>等。</w:t>
      </w:r>
    </w:p>
    <w:p w14:paraId="39F6E27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single"/>
          <w:lang w:eastAsia="en-US"/>
        </w:rPr>
        <w:t xml:space="preserve"> 472.32</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0.20万元</w:t>
      </w:r>
      <w:r>
        <w:rPr>
          <w:rFonts w:ascii="FangSong_GB2312" w:hAnsi="FangSong_GB2312" w:eastAsia="FangSong_GB2312" w:cs="FangSong_GB2312"/>
          <w:kern w:val="0"/>
          <w:sz w:val="32"/>
          <w:szCs w:val="32"/>
        </w:rPr>
        <w:t>、差旅费</w:t>
      </w:r>
      <w:r>
        <w:rPr>
          <w:rFonts w:hint="eastAsia" w:ascii="FangSong_GB2312" w:hAnsi="FangSong_GB2312" w:eastAsia="FangSong_GB2312" w:cs="FangSong_GB2312"/>
          <w:kern w:val="0"/>
          <w:sz w:val="32"/>
          <w:szCs w:val="32"/>
          <w:lang w:val="en-US" w:eastAsia="zh-CN"/>
        </w:rPr>
        <w:t>34.01万元</w:t>
      </w:r>
      <w:r>
        <w:rPr>
          <w:rFonts w:ascii="FangSong_GB2312" w:hAnsi="FangSong_GB2312" w:eastAsia="FangSong_GB2312" w:cs="FangSong_GB2312"/>
          <w:kern w:val="0"/>
          <w:sz w:val="32"/>
          <w:szCs w:val="32"/>
        </w:rPr>
        <w:t>、维修（护）费</w:t>
      </w:r>
      <w:r>
        <w:rPr>
          <w:rFonts w:hint="eastAsia" w:ascii="FangSong_GB2312" w:hAnsi="FangSong_GB2312" w:eastAsia="FangSong_GB2312" w:cs="FangSong_GB2312"/>
          <w:kern w:val="0"/>
          <w:sz w:val="32"/>
          <w:szCs w:val="32"/>
          <w:lang w:val="en-US" w:eastAsia="zh-CN"/>
        </w:rPr>
        <w:t>0.25万元</w:t>
      </w:r>
      <w:r>
        <w:rPr>
          <w:rFonts w:ascii="FangSong_GB2312" w:hAnsi="FangSong_GB2312" w:eastAsia="FangSong_GB2312" w:cs="FangSong_GB2312"/>
          <w:kern w:val="0"/>
          <w:sz w:val="32"/>
          <w:szCs w:val="32"/>
        </w:rPr>
        <w:t>、租赁费</w:t>
      </w:r>
      <w:r>
        <w:rPr>
          <w:rFonts w:hint="eastAsia" w:ascii="FangSong_GB2312" w:hAnsi="FangSong_GB2312" w:eastAsia="FangSong_GB2312" w:cs="FangSong_GB2312"/>
          <w:kern w:val="0"/>
          <w:sz w:val="32"/>
          <w:szCs w:val="32"/>
          <w:lang w:val="en-US" w:eastAsia="zh-CN"/>
        </w:rPr>
        <w:t>23.92万元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9.54万元</w:t>
      </w:r>
      <w:r>
        <w:rPr>
          <w:rFonts w:ascii="FangSong_GB2312" w:hAnsi="FangSong_GB2312" w:eastAsia="FangSong_GB2312" w:cs="FangSong_GB2312"/>
          <w:kern w:val="0"/>
          <w:sz w:val="32"/>
          <w:szCs w:val="32"/>
        </w:rPr>
        <w:t>、专用材料费</w:t>
      </w:r>
      <w:r>
        <w:rPr>
          <w:rFonts w:hint="eastAsia" w:ascii="FangSong_GB2312" w:hAnsi="FangSong_GB2312" w:eastAsia="FangSong_GB2312" w:cs="FangSong_GB2312"/>
          <w:kern w:val="0"/>
          <w:sz w:val="32"/>
          <w:szCs w:val="32"/>
          <w:lang w:val="en-US" w:eastAsia="zh-CN"/>
        </w:rPr>
        <w:t>71.72万元</w:t>
      </w:r>
      <w:r>
        <w:rPr>
          <w:rFonts w:ascii="FangSong_GB2312" w:hAnsi="FangSong_GB2312" w:eastAsia="FangSong_GB2312" w:cs="FangSong_GB2312"/>
          <w:kern w:val="0"/>
          <w:sz w:val="32"/>
          <w:szCs w:val="32"/>
        </w:rPr>
        <w:t>、劳务费</w:t>
      </w:r>
      <w:r>
        <w:rPr>
          <w:rFonts w:hint="eastAsia" w:ascii="FangSong_GB2312" w:hAnsi="FangSong_GB2312" w:eastAsia="FangSong_GB2312" w:cs="FangSong_GB2312"/>
          <w:kern w:val="0"/>
          <w:sz w:val="32"/>
          <w:szCs w:val="32"/>
          <w:lang w:val="en-US" w:eastAsia="zh-CN"/>
        </w:rPr>
        <w:t>328.83万元</w:t>
      </w:r>
      <w:r>
        <w:rPr>
          <w:rFonts w:ascii="FangSong_GB2312" w:hAnsi="FangSong_GB2312" w:eastAsia="FangSong_GB2312" w:cs="FangSong_GB2312"/>
          <w:kern w:val="0"/>
          <w:sz w:val="32"/>
          <w:szCs w:val="32"/>
        </w:rPr>
        <w:t>、委托业务费</w:t>
      </w:r>
      <w:r>
        <w:rPr>
          <w:rFonts w:hint="eastAsia" w:ascii="FangSong_GB2312" w:hAnsi="FangSong_GB2312" w:eastAsia="FangSong_GB2312" w:cs="FangSong_GB2312"/>
          <w:kern w:val="0"/>
          <w:sz w:val="32"/>
          <w:szCs w:val="32"/>
          <w:lang w:val="en-US" w:eastAsia="zh-CN"/>
        </w:rPr>
        <w:t>0.90万元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lang w:val="en-US" w:eastAsia="zh-CN"/>
        </w:rPr>
        <w:t>2.96万元</w:t>
      </w:r>
      <w:r>
        <w:rPr>
          <w:rFonts w:ascii="FangSong_GB2312" w:hAnsi="FangSong_GB2312" w:eastAsia="FangSong_GB2312" w:cs="FangSong_GB2312"/>
          <w:kern w:val="0"/>
          <w:sz w:val="32"/>
          <w:szCs w:val="32"/>
        </w:rPr>
        <w:t>等。</w:t>
      </w:r>
    </w:p>
    <w:p w14:paraId="47687EF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（三）资本性支出</w:t>
      </w:r>
      <w:r>
        <w:rPr>
          <w:rFonts w:eastAsia="Times New Roman"/>
          <w:kern w:val="0"/>
          <w:sz w:val="32"/>
          <w:szCs w:val="32"/>
          <w:u w:val="single"/>
          <w:lang w:eastAsia="en-US"/>
        </w:rPr>
        <w:t xml:space="preserve"> 23.63</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主要包括：办公设备购置</w:t>
      </w:r>
      <w:r>
        <w:rPr>
          <w:rFonts w:hint="eastAsia" w:ascii="FangSong_GB2312" w:hAnsi="FangSong_GB2312" w:eastAsia="FangSong_GB2312" w:cs="FangSong_GB2312"/>
          <w:kern w:val="0"/>
          <w:sz w:val="32"/>
          <w:szCs w:val="32"/>
          <w:lang w:val="en-US" w:eastAsia="zh-CN"/>
        </w:rPr>
        <w:t>3.46万元</w:t>
      </w:r>
      <w:r>
        <w:rPr>
          <w:rFonts w:ascii="FangSong_GB2312" w:hAnsi="FangSong_GB2312" w:eastAsia="FangSong_GB2312" w:cs="FangSong_GB2312"/>
          <w:kern w:val="0"/>
          <w:sz w:val="32"/>
          <w:szCs w:val="32"/>
        </w:rPr>
        <w:t>、专用设备购置</w:t>
      </w:r>
      <w:r>
        <w:rPr>
          <w:rFonts w:hint="eastAsia" w:ascii="FangSong_GB2312" w:hAnsi="FangSong_GB2312" w:eastAsia="FangSong_GB2312" w:cs="FangSong_GB2312"/>
          <w:kern w:val="0"/>
          <w:sz w:val="32"/>
          <w:szCs w:val="32"/>
          <w:lang w:val="en-US" w:eastAsia="zh-CN"/>
        </w:rPr>
        <w:t>20.17万元</w:t>
      </w:r>
      <w:r>
        <w:rPr>
          <w:rFonts w:ascii="FangSong_GB2312" w:hAnsi="FangSong_GB2312" w:eastAsia="FangSong_GB2312" w:cs="FangSong_GB2312"/>
          <w:kern w:val="0"/>
          <w:sz w:val="32"/>
          <w:szCs w:val="32"/>
        </w:rPr>
        <w:t>。</w:t>
      </w:r>
    </w:p>
    <w:p w14:paraId="5866A65A">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42E62846">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0D834E0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1.44</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56.16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1.44</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56.16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1.44</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万元，与预算差异原因</w:t>
      </w:r>
      <w:r>
        <w:rPr>
          <w:rFonts w:hint="eastAsia" w:ascii="FangSong_GB2312" w:hAnsi="FangSong_GB2312" w:eastAsia="FangSong_GB2312" w:cs="FangSong_GB2312"/>
          <w:kern w:val="0"/>
          <w:sz w:val="32"/>
          <w:szCs w:val="32"/>
          <w:lang w:val="en-US" w:eastAsia="zh-CN"/>
        </w:rPr>
        <w:t>我单位本年度根据实际公务用车情况进行支出，因此较年初预算减少</w:t>
      </w:r>
      <w:r>
        <w:rPr>
          <w:rFonts w:ascii="FangSong_GB2312" w:hAnsi="FangSong_GB2312" w:eastAsia="FangSong_GB2312" w:cs="FangSong_GB2312"/>
          <w:kern w:val="0"/>
          <w:sz w:val="32"/>
          <w:szCs w:val="32"/>
        </w:rPr>
        <w:t>。</w:t>
      </w:r>
    </w:p>
    <w:p w14:paraId="0D0062AC">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119C85DA">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43424C14">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31FDBFD8">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万元。其中：</w:t>
      </w:r>
    </w:p>
    <w:p w14:paraId="79F0711A">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27165863">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0.81</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9 </w:t>
      </w:r>
      <w:r>
        <w:rPr>
          <w:rFonts w:ascii="FangSong_GB2312" w:hAnsi="FangSong_GB2312" w:eastAsia="FangSong_GB2312" w:cs="FangSong_GB2312"/>
          <w:kern w:val="0"/>
          <w:sz w:val="32"/>
          <w:szCs w:val="32"/>
        </w:rPr>
        <w:t>辆。与上年决算相比，减少</w:t>
      </w:r>
      <w:r>
        <w:rPr>
          <w:rFonts w:eastAsia="Times New Roman"/>
          <w:kern w:val="0"/>
          <w:sz w:val="32"/>
          <w:szCs w:val="32"/>
          <w:u w:val="single"/>
          <w:lang w:eastAsia="en-US"/>
        </w:rPr>
        <w:t xml:space="preserve"> -0.44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-34.99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我单位本年度根据实际公车使用情况支出，因此较年初预算减少</w:t>
      </w:r>
      <w:r>
        <w:rPr>
          <w:rFonts w:ascii="FangSong_GB2312" w:hAnsi="FangSong_GB2312" w:eastAsia="FangSong_GB2312" w:cs="FangSong_GB2312"/>
          <w:kern w:val="0"/>
          <w:sz w:val="32"/>
          <w:szCs w:val="32"/>
        </w:rPr>
        <w:t>。</w:t>
      </w:r>
    </w:p>
    <w:p w14:paraId="01F0DD7F">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717F8B3C">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26F1782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本年无政府性基金预算财政拨款收、支、余</w:t>
      </w:r>
      <w:r>
        <w:rPr>
          <w:rFonts w:ascii="FangSong_GB2312" w:hAnsi="FangSong_GB2312" w:eastAsia="FangSong_GB2312" w:cs="FangSong_GB2312"/>
          <w:kern w:val="0"/>
          <w:sz w:val="32"/>
          <w:szCs w:val="32"/>
        </w:rPr>
        <w:t>。其中：</w:t>
      </w:r>
    </w:p>
    <w:p w14:paraId="33FCC0EC">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1FC327B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color w:val="auto"/>
          <w:kern w:val="0"/>
          <w:sz w:val="32"/>
          <w:szCs w:val="32"/>
        </w:rPr>
        <w:t>本年无国有资本经营预算财政拨款收、支、余。其中：</w:t>
      </w:r>
    </w:p>
    <w:p w14:paraId="37BC3DFC">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5D10A8C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乌海乌兰牧骑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12.05</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1.32</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12.26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我单位本年度支付以前年度欠款，因此较上年决算增加</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万元。比上年决算相比，增加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我单位为公益一类事业单位，无机关运行经费</w:t>
      </w:r>
      <w:r>
        <w:rPr>
          <w:rFonts w:ascii="FangSong_GB2312" w:hAnsi="FangSong_GB2312" w:eastAsia="FangSong_GB2312" w:cs="FangSong_GB2312"/>
          <w:kern w:val="0"/>
          <w:sz w:val="32"/>
          <w:szCs w:val="32"/>
        </w:rPr>
        <w:t>。</w:t>
      </w:r>
    </w:p>
    <w:p w14:paraId="4BFC39AB">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3D2E960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1827.82</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1572.67</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255.16</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347.75</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19.03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347.75</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19.03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hint="eastAsia"/>
          <w:kern w:val="0"/>
          <w:sz w:val="32"/>
          <w:szCs w:val="32"/>
          <w:u w:val="single"/>
          <w:lang w:val="en-US" w:eastAsia="zh-CN"/>
        </w:rPr>
        <w:t>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hint="eastAsia"/>
          <w:kern w:val="0"/>
          <w:sz w:val="32"/>
          <w:szCs w:val="32"/>
          <w:u w:val="single"/>
          <w:lang w:val="en-US" w:eastAsia="zh-CN"/>
        </w:rPr>
        <w:t>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81590DF">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21ABD190">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共有车辆</w:t>
      </w:r>
      <w:r>
        <w:rPr>
          <w:rFonts w:eastAsia="Times New Roman"/>
          <w:kern w:val="0"/>
          <w:sz w:val="32"/>
          <w:szCs w:val="32"/>
          <w:u w:val="single"/>
          <w:lang w:eastAsia="en-US"/>
        </w:rPr>
        <w:t xml:space="preserve">9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8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1 </w:t>
      </w:r>
      <w:r>
        <w:rPr>
          <w:rFonts w:ascii="FangSong_GB2312" w:hAnsi="FangSong_GB2312" w:eastAsia="FangSong_GB2312" w:cs="FangSong_GB2312"/>
          <w:kern w:val="0"/>
          <w:sz w:val="32"/>
          <w:szCs w:val="32"/>
        </w:rPr>
        <w:t>辆，其他用车主要是</w:t>
      </w:r>
      <w:r>
        <w:rPr>
          <w:rFonts w:hint="eastAsia" w:ascii="FangSong_GB2312" w:hAnsi="FangSong_GB2312" w:eastAsia="FangSong_GB2312" w:cs="FangSong_GB2312"/>
          <w:kern w:val="0"/>
          <w:sz w:val="32"/>
          <w:szCs w:val="32"/>
          <w:lang w:val="en-US" w:eastAsia="zh-CN"/>
        </w:rPr>
        <w:t>用于演出车辆</w:t>
      </w:r>
      <w:r>
        <w:rPr>
          <w:rFonts w:ascii="FangSong_GB2312" w:hAnsi="FangSong_GB2312" w:eastAsia="FangSong_GB2312" w:cs="FangSong_GB2312"/>
          <w:kern w:val="0"/>
          <w:sz w:val="32"/>
          <w:szCs w:val="32"/>
        </w:rPr>
        <w:t>；单价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台（套）。</w:t>
      </w:r>
    </w:p>
    <w:p w14:paraId="41013165">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792FBB5E">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35197EA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kern w:val="0"/>
          <w:sz w:val="32"/>
          <w:szCs w:val="32"/>
          <w:u w:val="single"/>
          <w:lang w:val="en-US" w:eastAsia="zh-CN"/>
        </w:rPr>
        <w:t>3</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813.90</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kern w:val="0"/>
          <w:sz w:val="32"/>
          <w:szCs w:val="32"/>
          <w:u w:val="single"/>
          <w:lang w:val="en-US" w:eastAsia="zh-CN"/>
        </w:rPr>
        <w:t>3</w:t>
      </w:r>
      <w:r>
        <w:rPr>
          <w:rFonts w:ascii="FangSong_GB2312" w:hAnsi="FangSong_GB2312" w:eastAsia="FangSong_GB2312" w:cs="FangSong_GB2312"/>
          <w:kern w:val="0"/>
          <w:sz w:val="32"/>
          <w:szCs w:val="32"/>
        </w:rPr>
        <w:t>个，</w:t>
      </w:r>
    </w:p>
    <w:p w14:paraId="2E7AC864">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w:t>
      </w:r>
      <w:r>
        <w:rPr>
          <w:rFonts w:hint="eastAsia" w:ascii="楷体" w:hAnsi="楷体" w:eastAsia="楷体" w:cs="楷体"/>
          <w:b/>
          <w:bCs/>
          <w:kern w:val="0"/>
          <w:sz w:val="32"/>
          <w:szCs w:val="32"/>
          <w:lang w:eastAsia="zh-CN"/>
        </w:rPr>
        <w:t>单位</w:t>
      </w:r>
      <w:r>
        <w:rPr>
          <w:rFonts w:ascii="楷体" w:hAnsi="楷体" w:eastAsia="楷体" w:cs="楷体"/>
          <w:b/>
          <w:bCs/>
          <w:kern w:val="0"/>
          <w:sz w:val="32"/>
          <w:szCs w:val="32"/>
        </w:rPr>
        <w:t>决算中项目绩效自评结果。</w:t>
      </w:r>
    </w:p>
    <w:p w14:paraId="51C9A58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乌海乌兰牧骑</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kern w:val="0"/>
          <w:sz w:val="32"/>
          <w:szCs w:val="32"/>
          <w:u w:val="single"/>
          <w:lang w:val="en-US" w:eastAsia="zh-CN"/>
        </w:rPr>
        <w:t>3</w:t>
      </w:r>
      <w:r>
        <w:rPr>
          <w:rFonts w:ascii="FangSong_GB2312" w:hAnsi="FangSong_GB2312" w:eastAsia="FangSong_GB2312" w:cs="FangSong_GB2312"/>
          <w:kern w:val="0"/>
          <w:sz w:val="32"/>
          <w:szCs w:val="32"/>
        </w:rPr>
        <w:t>个一般公共预算项目，以及</w:t>
      </w:r>
      <w:r>
        <w:rPr>
          <w:rFonts w:hint="eastAsia"/>
          <w:kern w:val="0"/>
          <w:sz w:val="32"/>
          <w:szCs w:val="32"/>
          <w:u w:val="single"/>
          <w:lang w:val="en-US" w:eastAsia="zh-CN"/>
        </w:rPr>
        <w:t>0</w:t>
      </w:r>
      <w:r>
        <w:rPr>
          <w:rFonts w:ascii="FangSong_GB2312" w:hAnsi="FangSong_GB2312" w:eastAsia="FangSong_GB2312" w:cs="FangSong_GB2312"/>
          <w:kern w:val="0"/>
          <w:sz w:val="32"/>
          <w:szCs w:val="32"/>
        </w:rPr>
        <w:t>个政府性基金项目，共</w:t>
      </w:r>
      <w:r>
        <w:rPr>
          <w:rFonts w:hint="eastAsia"/>
          <w:kern w:val="0"/>
          <w:sz w:val="32"/>
          <w:szCs w:val="32"/>
          <w:u w:val="single"/>
          <w:lang w:val="en-US" w:eastAsia="zh-CN"/>
        </w:rPr>
        <w:t>3</w:t>
      </w:r>
      <w:r>
        <w:rPr>
          <w:rFonts w:ascii="FangSong_GB2312" w:hAnsi="FangSong_GB2312" w:eastAsia="FangSong_GB2312" w:cs="FangSong_GB2312"/>
          <w:kern w:val="0"/>
          <w:sz w:val="32"/>
          <w:szCs w:val="32"/>
        </w:rPr>
        <w:t>个项目的绩效自评结果。</w:t>
      </w:r>
    </w:p>
    <w:p w14:paraId="0DDFA385">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lang w:eastAsia="en-US"/>
        </w:rPr>
        <w:t>1.</w:t>
      </w:r>
      <w:r>
        <w:rPr>
          <w:rFonts w:hint="eastAsia" w:ascii="FangSong_GB2312" w:hAnsi="FangSong_GB2312" w:eastAsia="FangSong_GB2312" w:cs="FangSong_GB2312"/>
          <w:kern w:val="0"/>
          <w:sz w:val="32"/>
          <w:szCs w:val="32"/>
          <w:lang w:eastAsia="en-US"/>
        </w:rPr>
        <w:t>2022年自治区公共文化服务体系建设专项资金</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7.50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7.50</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资金全部用于乌兰牧骑重点剧目创编以及各项演出培训等经费支出，其中完成了重点剧目《山高水长》《铁脊梁》等创编，资金已全部支付，无结余。</w:t>
      </w:r>
      <w:r>
        <w:rPr>
          <w:rFonts w:ascii="FangSong_GB2312" w:hAnsi="FangSong_GB2312" w:eastAsia="FangSong_GB2312" w:cs="FangSong_GB2312"/>
          <w:kern w:val="0"/>
          <w:sz w:val="32"/>
          <w:szCs w:val="32"/>
        </w:rPr>
        <w:t>发现的主要问题及原因：</w:t>
      </w:r>
      <w:r>
        <w:rPr>
          <w:rFonts w:hint="eastAsia" w:ascii="仿宋" w:hAnsi="仿宋" w:eastAsia="仿宋" w:cs="仿宋"/>
          <w:kern w:val="2"/>
          <w:sz w:val="31"/>
          <w:szCs w:val="31"/>
          <w:u w:val="none"/>
          <w:lang w:val="en-US" w:eastAsia="zh-CN"/>
        </w:rPr>
        <w:t>暂未发现重大问题</w:t>
      </w:r>
      <w:r>
        <w:rPr>
          <w:rFonts w:hint="eastAsia" w:ascii="仿宋" w:hAnsi="仿宋" w:eastAsia="仿宋" w:cs="仿宋"/>
          <w:kern w:val="2"/>
          <w:sz w:val="31"/>
          <w:szCs w:val="31"/>
          <w:u w:val="none"/>
          <w:lang w:eastAsia="zh-CN"/>
        </w:rPr>
        <w:t>。下一步改进措施：</w:t>
      </w:r>
      <w:r>
        <w:rPr>
          <w:rFonts w:hint="eastAsia" w:ascii="仿宋" w:hAnsi="仿宋" w:eastAsia="仿宋" w:cs="仿宋"/>
          <w:kern w:val="2"/>
          <w:sz w:val="31"/>
          <w:szCs w:val="31"/>
          <w:u w:val="none"/>
          <w:lang w:val="en-US" w:eastAsia="zh-CN"/>
        </w:rPr>
        <w:t>加强绩效监控，完善资金分配</w:t>
      </w:r>
      <w:r>
        <w:rPr>
          <w:rFonts w:ascii="FangSong_GB2312" w:hAnsi="FangSong_GB2312" w:eastAsia="FangSong_GB2312" w:cs="FangSong_GB2312"/>
          <w:kern w:val="0"/>
          <w:sz w:val="32"/>
          <w:szCs w:val="32"/>
        </w:rPr>
        <w:t>。</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41"/>
        <w:gridCol w:w="741"/>
        <w:gridCol w:w="741"/>
        <w:gridCol w:w="685"/>
        <w:gridCol w:w="685"/>
        <w:gridCol w:w="686"/>
        <w:gridCol w:w="686"/>
        <w:gridCol w:w="683"/>
        <w:gridCol w:w="690"/>
        <w:gridCol w:w="685"/>
        <w:gridCol w:w="756"/>
        <w:gridCol w:w="743"/>
      </w:tblGrid>
      <w:tr w14:paraId="27D6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vAlign w:val="center"/>
          </w:tcPr>
          <w:p w14:paraId="24486127">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bdr w:val="none" w:color="auto" w:sz="0" w:space="0"/>
                <w:lang w:val="en-US" w:eastAsia="zh-CN" w:bidi="ar"/>
              </w:rPr>
              <w:t>项目支出绩效自评表</w:t>
            </w:r>
            <w:r>
              <w:rPr>
                <w:rFonts w:hint="eastAsia" w:ascii="宋体" w:hAnsi="宋体" w:eastAsia="宋体" w:cs="宋体"/>
                <w:b/>
                <w:bCs/>
                <w:i w:val="0"/>
                <w:iCs w:val="0"/>
                <w:color w:val="000000"/>
                <w:kern w:val="0"/>
                <w:sz w:val="40"/>
                <w:szCs w:val="40"/>
                <w:u w:val="none"/>
                <w:bdr w:val="none" w:color="auto" w:sz="0" w:space="0"/>
                <w:lang w:val="en-US" w:eastAsia="zh-CN" w:bidi="ar"/>
              </w:rPr>
              <w:br w:type="textWrapping"/>
            </w:r>
            <w:r>
              <w:rPr>
                <w:rFonts w:hint="eastAsia" w:ascii="宋体" w:hAnsi="宋体" w:eastAsia="宋体" w:cs="宋体"/>
                <w:b/>
                <w:bCs/>
                <w:i w:val="0"/>
                <w:iCs w:val="0"/>
                <w:color w:val="000000"/>
                <w:kern w:val="0"/>
                <w:sz w:val="40"/>
                <w:szCs w:val="40"/>
                <w:u w:val="none"/>
                <w:bdr w:val="none" w:color="auto" w:sz="0" w:space="0"/>
                <w:lang w:val="en-US" w:eastAsia="zh-CN" w:bidi="ar"/>
              </w:rPr>
              <w:t>(2025年度）</w:t>
            </w:r>
          </w:p>
        </w:tc>
      </w:tr>
      <w:tr w14:paraId="60D81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vAlign w:val="center"/>
          </w:tcPr>
          <w:p w14:paraId="7357C44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vAlign w:val="center"/>
          </w:tcPr>
          <w:p w14:paraId="22765D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2022年自治区公共文化服务体系建设专项资金</w:t>
            </w:r>
          </w:p>
        </w:tc>
      </w:tr>
      <w:tr w14:paraId="037D2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vAlign w:val="center"/>
          </w:tcPr>
          <w:p w14:paraId="08927E1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vAlign w:val="center"/>
          </w:tcPr>
          <w:p w14:paraId="07EF1D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5F09A43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vAlign w:val="center"/>
          </w:tcPr>
          <w:p w14:paraId="23FB5E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乌海乌兰牧骑</w:t>
            </w:r>
          </w:p>
        </w:tc>
      </w:tr>
      <w:tr w14:paraId="45732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6A613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项目资金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6FE1E04D">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7CC2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74242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27AA3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896B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335B7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32A6A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得分</w:t>
            </w:r>
          </w:p>
        </w:tc>
      </w:tr>
      <w:tr w14:paraId="3E6EA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8F26C44">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3A8A5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2FB93D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3F104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76A92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CE455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5E200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6C7573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r>
      <w:tr w14:paraId="1FB76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7E7F90B">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5848D4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11BB7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425CE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42442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7.5</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53C58FB">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43969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5EB55901">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05AA1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EFA0289">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55C2C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C04D534">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25D6279A">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687443CF">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64AB5FEC">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6A53E9B1">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7D030C5F">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05666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112CDC74">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1063E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12FE0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463E4F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68B10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4F2C73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5F662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6E12CC1E">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284C1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31234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vAlign w:val="center"/>
          </w:tcPr>
          <w:p w14:paraId="6B68A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vAlign w:val="center"/>
          </w:tcPr>
          <w:p w14:paraId="0BF18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实际完成情况</w:t>
            </w:r>
          </w:p>
        </w:tc>
      </w:tr>
      <w:tr w14:paraId="79D8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F03B147">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vAlign w:val="center"/>
          </w:tcPr>
          <w:p w14:paraId="4874C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根据内财科{2021}693号文件下发次比资金，用于乌兰牧骑年度重大主题活动节目演出、重点剧目创编、学习培训、惠民演出、设备租赁、文艺作品创作、对外交流等</w:t>
            </w:r>
          </w:p>
        </w:tc>
        <w:tc>
          <w:tcPr>
            <w:tcW w:w="2070" w:type="pct"/>
            <w:gridSpan w:val="5"/>
            <w:tcBorders>
              <w:top w:val="single" w:color="000000" w:sz="4" w:space="0"/>
              <w:left w:val="single" w:color="000000" w:sz="4" w:space="0"/>
              <w:bottom w:val="single" w:color="000000" w:sz="4" w:space="0"/>
              <w:right w:val="single" w:color="000000" w:sz="4" w:space="0"/>
            </w:tcBorders>
            <w:shd w:val="clear"/>
            <w:vAlign w:val="center"/>
          </w:tcPr>
          <w:p w14:paraId="4F6761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资金全部用于乌兰牧骑重点剧目创编以及各项演出培训等经费支出，其中完成了重点剧目《山高水长》《铁脊梁》等创编，资金已全部支付，无结余。</w:t>
            </w:r>
          </w:p>
        </w:tc>
      </w:tr>
      <w:tr w14:paraId="5C0FE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vAlign w:val="center"/>
          </w:tcPr>
          <w:p w14:paraId="6A688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1FE2B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66DB7C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EA25D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57E6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22FF8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273F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vAlign w:val="center"/>
          </w:tcPr>
          <w:p w14:paraId="51A1B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240F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3DA4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vAlign w:val="center"/>
          </w:tcPr>
          <w:p w14:paraId="365F28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2C5184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偏差原因分析及改进措施</w:t>
            </w:r>
          </w:p>
        </w:tc>
      </w:tr>
      <w:tr w14:paraId="53F76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vAlign w:val="center"/>
          </w:tcPr>
          <w:p w14:paraId="3C268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vAlign w:val="center"/>
          </w:tcPr>
          <w:p w14:paraId="30A403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vAlign w:val="center"/>
          </w:tcPr>
          <w:p w14:paraId="3891F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vAlign w:val="center"/>
          </w:tcPr>
          <w:p w14:paraId="6423A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编排惠民演出和创作及改编文艺作品</w:t>
            </w:r>
          </w:p>
        </w:tc>
        <w:tc>
          <w:tcPr>
            <w:tcW w:w="404" w:type="pct"/>
            <w:tcBorders>
              <w:top w:val="single" w:color="000000" w:sz="4" w:space="0"/>
              <w:left w:val="single" w:color="000000" w:sz="4" w:space="0"/>
              <w:bottom w:val="nil"/>
              <w:right w:val="single" w:color="000000" w:sz="4" w:space="0"/>
            </w:tcBorders>
            <w:shd w:val="clear"/>
            <w:vAlign w:val="center"/>
          </w:tcPr>
          <w:p w14:paraId="58FFA8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0406A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3B156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3C53D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32E42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vAlign w:val="center"/>
          </w:tcPr>
          <w:p w14:paraId="0C918B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18" w:type="pct"/>
            <w:tcBorders>
              <w:top w:val="single" w:color="000000" w:sz="4" w:space="0"/>
              <w:left w:val="single" w:color="000000" w:sz="4" w:space="0"/>
              <w:bottom w:val="nil"/>
              <w:right w:val="single" w:color="000000" w:sz="4" w:space="0"/>
            </w:tcBorders>
            <w:shd w:val="clear"/>
            <w:vAlign w:val="center"/>
          </w:tcPr>
          <w:p w14:paraId="24252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39" w:type="pct"/>
            <w:tcBorders>
              <w:top w:val="single" w:color="000000" w:sz="4" w:space="0"/>
              <w:left w:val="single" w:color="000000" w:sz="4" w:space="0"/>
              <w:bottom w:val="nil"/>
              <w:right w:val="single" w:color="000000" w:sz="4" w:space="0"/>
            </w:tcBorders>
            <w:shd w:val="clear"/>
            <w:vAlign w:val="center"/>
          </w:tcPr>
          <w:p w14:paraId="5BAFE46A">
            <w:pPr>
              <w:jc w:val="center"/>
              <w:rPr>
                <w:rFonts w:hint="eastAsia" w:ascii="宋体" w:hAnsi="宋体" w:eastAsia="宋体" w:cs="宋体"/>
                <w:i w:val="0"/>
                <w:iCs w:val="0"/>
                <w:color w:val="000000"/>
                <w:sz w:val="18"/>
                <w:szCs w:val="18"/>
                <w:u w:val="none"/>
              </w:rPr>
            </w:pPr>
          </w:p>
        </w:tc>
      </w:tr>
      <w:tr w14:paraId="635C3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DD7A711">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2A579754">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5E491B9C">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44554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演出人数</w:t>
            </w:r>
          </w:p>
        </w:tc>
        <w:tc>
          <w:tcPr>
            <w:tcW w:w="404" w:type="pct"/>
            <w:tcBorders>
              <w:top w:val="single" w:color="000000" w:sz="4" w:space="0"/>
              <w:left w:val="single" w:color="000000" w:sz="4" w:space="0"/>
              <w:bottom w:val="nil"/>
              <w:right w:val="single" w:color="000000" w:sz="4" w:space="0"/>
            </w:tcBorders>
            <w:shd w:val="clear"/>
            <w:vAlign w:val="center"/>
          </w:tcPr>
          <w:p w14:paraId="5D88C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0A406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5B670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393F3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62BDD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vAlign w:val="center"/>
          </w:tcPr>
          <w:p w14:paraId="5155E7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18" w:type="pct"/>
            <w:tcBorders>
              <w:top w:val="single" w:color="000000" w:sz="4" w:space="0"/>
              <w:left w:val="single" w:color="000000" w:sz="4" w:space="0"/>
              <w:bottom w:val="nil"/>
              <w:right w:val="single" w:color="000000" w:sz="4" w:space="0"/>
            </w:tcBorders>
            <w:shd w:val="clear"/>
            <w:vAlign w:val="center"/>
          </w:tcPr>
          <w:p w14:paraId="04D15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39" w:type="pct"/>
            <w:tcBorders>
              <w:top w:val="single" w:color="000000" w:sz="4" w:space="0"/>
              <w:left w:val="single" w:color="000000" w:sz="4" w:space="0"/>
              <w:bottom w:val="nil"/>
              <w:right w:val="single" w:color="000000" w:sz="4" w:space="0"/>
            </w:tcBorders>
            <w:shd w:val="clear"/>
            <w:vAlign w:val="center"/>
          </w:tcPr>
          <w:p w14:paraId="43C47FB5">
            <w:pPr>
              <w:jc w:val="center"/>
              <w:rPr>
                <w:rFonts w:hint="eastAsia" w:ascii="宋体" w:hAnsi="宋体" w:eastAsia="宋体" w:cs="宋体"/>
                <w:i w:val="0"/>
                <w:iCs w:val="0"/>
                <w:color w:val="000000"/>
                <w:sz w:val="18"/>
                <w:szCs w:val="18"/>
                <w:u w:val="none"/>
              </w:rPr>
            </w:pPr>
          </w:p>
        </w:tc>
      </w:tr>
      <w:tr w14:paraId="6F189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6684DC9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314A7AEE">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1EF20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vAlign w:val="center"/>
          </w:tcPr>
          <w:p w14:paraId="35D5C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演出出勤率</w:t>
            </w:r>
          </w:p>
        </w:tc>
        <w:tc>
          <w:tcPr>
            <w:tcW w:w="404" w:type="pct"/>
            <w:tcBorders>
              <w:top w:val="single" w:color="000000" w:sz="4" w:space="0"/>
              <w:left w:val="single" w:color="000000" w:sz="4" w:space="0"/>
              <w:bottom w:val="nil"/>
              <w:right w:val="single" w:color="000000" w:sz="4" w:space="0"/>
            </w:tcBorders>
            <w:shd w:val="clear"/>
            <w:vAlign w:val="center"/>
          </w:tcPr>
          <w:p w14:paraId="7CF01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084E1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3D455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3" w:type="pct"/>
            <w:tcBorders>
              <w:top w:val="single" w:color="000000" w:sz="4" w:space="0"/>
              <w:left w:val="single" w:color="000000" w:sz="4" w:space="0"/>
              <w:bottom w:val="nil"/>
              <w:right w:val="single" w:color="000000" w:sz="4" w:space="0"/>
            </w:tcBorders>
            <w:shd w:val="clear"/>
            <w:vAlign w:val="center"/>
          </w:tcPr>
          <w:p w14:paraId="258BC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4" w:type="pct"/>
            <w:tcBorders>
              <w:top w:val="single" w:color="000000" w:sz="4" w:space="0"/>
              <w:left w:val="single" w:color="000000" w:sz="4" w:space="0"/>
              <w:bottom w:val="nil"/>
              <w:right w:val="single" w:color="000000" w:sz="4" w:space="0"/>
            </w:tcBorders>
            <w:shd w:val="clear"/>
            <w:vAlign w:val="center"/>
          </w:tcPr>
          <w:p w14:paraId="6FA05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次</w:t>
            </w:r>
          </w:p>
        </w:tc>
        <w:tc>
          <w:tcPr>
            <w:tcW w:w="404" w:type="pct"/>
            <w:tcBorders>
              <w:top w:val="single" w:color="000000" w:sz="4" w:space="0"/>
              <w:left w:val="single" w:color="000000" w:sz="4" w:space="0"/>
              <w:bottom w:val="nil"/>
              <w:right w:val="single" w:color="000000" w:sz="4" w:space="0"/>
            </w:tcBorders>
            <w:shd w:val="clear"/>
            <w:vAlign w:val="center"/>
          </w:tcPr>
          <w:p w14:paraId="5DFB1F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18" w:type="pct"/>
            <w:tcBorders>
              <w:top w:val="single" w:color="000000" w:sz="4" w:space="0"/>
              <w:left w:val="single" w:color="000000" w:sz="4" w:space="0"/>
              <w:bottom w:val="nil"/>
              <w:right w:val="single" w:color="000000" w:sz="4" w:space="0"/>
            </w:tcBorders>
            <w:shd w:val="clear"/>
            <w:vAlign w:val="center"/>
          </w:tcPr>
          <w:p w14:paraId="0667E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39" w:type="pct"/>
            <w:tcBorders>
              <w:top w:val="single" w:color="000000" w:sz="4" w:space="0"/>
              <w:left w:val="single" w:color="000000" w:sz="4" w:space="0"/>
              <w:bottom w:val="nil"/>
              <w:right w:val="single" w:color="000000" w:sz="4" w:space="0"/>
            </w:tcBorders>
            <w:shd w:val="clear"/>
            <w:vAlign w:val="center"/>
          </w:tcPr>
          <w:p w14:paraId="46472D6D">
            <w:pPr>
              <w:jc w:val="center"/>
              <w:rPr>
                <w:rFonts w:hint="eastAsia" w:ascii="宋体" w:hAnsi="宋体" w:eastAsia="宋体" w:cs="宋体"/>
                <w:i w:val="0"/>
                <w:iCs w:val="0"/>
                <w:color w:val="000000"/>
                <w:sz w:val="18"/>
                <w:szCs w:val="18"/>
                <w:u w:val="none"/>
              </w:rPr>
            </w:pPr>
          </w:p>
        </w:tc>
      </w:tr>
      <w:tr w14:paraId="5592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091D94CE">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2D677C5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77777E17">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7CAB2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演出场次</w:t>
            </w:r>
          </w:p>
        </w:tc>
        <w:tc>
          <w:tcPr>
            <w:tcW w:w="404" w:type="pct"/>
            <w:tcBorders>
              <w:top w:val="single" w:color="000000" w:sz="4" w:space="0"/>
              <w:left w:val="single" w:color="000000" w:sz="4" w:space="0"/>
              <w:bottom w:val="nil"/>
              <w:right w:val="single" w:color="000000" w:sz="4" w:space="0"/>
            </w:tcBorders>
            <w:shd w:val="clear"/>
            <w:vAlign w:val="center"/>
          </w:tcPr>
          <w:p w14:paraId="06E776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567AEA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52321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277E5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17A66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vAlign w:val="center"/>
          </w:tcPr>
          <w:p w14:paraId="4F183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18" w:type="pct"/>
            <w:tcBorders>
              <w:top w:val="single" w:color="000000" w:sz="4" w:space="0"/>
              <w:left w:val="single" w:color="000000" w:sz="4" w:space="0"/>
              <w:bottom w:val="nil"/>
              <w:right w:val="single" w:color="000000" w:sz="4" w:space="0"/>
            </w:tcBorders>
            <w:shd w:val="clear"/>
            <w:vAlign w:val="center"/>
          </w:tcPr>
          <w:p w14:paraId="033A3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39" w:type="pct"/>
            <w:tcBorders>
              <w:top w:val="single" w:color="000000" w:sz="4" w:space="0"/>
              <w:left w:val="single" w:color="000000" w:sz="4" w:space="0"/>
              <w:bottom w:val="nil"/>
              <w:right w:val="single" w:color="000000" w:sz="4" w:space="0"/>
            </w:tcBorders>
            <w:shd w:val="clear"/>
            <w:vAlign w:val="center"/>
          </w:tcPr>
          <w:p w14:paraId="0B86C728">
            <w:pPr>
              <w:jc w:val="center"/>
              <w:rPr>
                <w:rFonts w:hint="eastAsia" w:ascii="宋体" w:hAnsi="宋体" w:eastAsia="宋体" w:cs="宋体"/>
                <w:i w:val="0"/>
                <w:iCs w:val="0"/>
                <w:color w:val="000000"/>
                <w:sz w:val="18"/>
                <w:szCs w:val="18"/>
                <w:u w:val="none"/>
              </w:rPr>
            </w:pPr>
          </w:p>
        </w:tc>
      </w:tr>
      <w:tr w14:paraId="14A02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5976D1CE">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61BA8EDF">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782EC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vAlign w:val="center"/>
          </w:tcPr>
          <w:p w14:paraId="48366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演出及创作完成率</w:t>
            </w:r>
          </w:p>
        </w:tc>
        <w:tc>
          <w:tcPr>
            <w:tcW w:w="404" w:type="pct"/>
            <w:tcBorders>
              <w:top w:val="single" w:color="000000" w:sz="4" w:space="0"/>
              <w:left w:val="single" w:color="000000" w:sz="4" w:space="0"/>
              <w:bottom w:val="nil"/>
              <w:right w:val="single" w:color="000000" w:sz="4" w:space="0"/>
            </w:tcBorders>
            <w:shd w:val="clear"/>
            <w:vAlign w:val="center"/>
          </w:tcPr>
          <w:p w14:paraId="60D38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10079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6B7D3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0FB7C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29929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vAlign w:val="center"/>
          </w:tcPr>
          <w:p w14:paraId="4EF22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43C9C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14872ADF">
            <w:pPr>
              <w:jc w:val="center"/>
              <w:rPr>
                <w:rFonts w:hint="eastAsia" w:ascii="宋体" w:hAnsi="宋体" w:eastAsia="宋体" w:cs="宋体"/>
                <w:i w:val="0"/>
                <w:iCs w:val="0"/>
                <w:color w:val="000000"/>
                <w:sz w:val="18"/>
                <w:szCs w:val="18"/>
                <w:u w:val="none"/>
              </w:rPr>
            </w:pPr>
          </w:p>
        </w:tc>
      </w:tr>
      <w:tr w14:paraId="32517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149DBD7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112874C8">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38B66531">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1FA45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资金支付率</w:t>
            </w:r>
          </w:p>
        </w:tc>
        <w:tc>
          <w:tcPr>
            <w:tcW w:w="404" w:type="pct"/>
            <w:tcBorders>
              <w:top w:val="single" w:color="000000" w:sz="4" w:space="0"/>
              <w:left w:val="single" w:color="000000" w:sz="4" w:space="0"/>
              <w:bottom w:val="nil"/>
              <w:right w:val="single" w:color="000000" w:sz="4" w:space="0"/>
            </w:tcBorders>
            <w:shd w:val="clear"/>
            <w:vAlign w:val="center"/>
          </w:tcPr>
          <w:p w14:paraId="144DE6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74853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029AA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30E08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38F6D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vAlign w:val="center"/>
          </w:tcPr>
          <w:p w14:paraId="5F394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29581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04DCE4D1">
            <w:pPr>
              <w:jc w:val="center"/>
              <w:rPr>
                <w:rFonts w:hint="eastAsia" w:ascii="宋体" w:hAnsi="宋体" w:eastAsia="宋体" w:cs="宋体"/>
                <w:i w:val="0"/>
                <w:iCs w:val="0"/>
                <w:color w:val="000000"/>
                <w:sz w:val="18"/>
                <w:szCs w:val="18"/>
                <w:u w:val="none"/>
              </w:rPr>
            </w:pPr>
          </w:p>
        </w:tc>
      </w:tr>
      <w:tr w14:paraId="7612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3FFF714">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0ECB9FCE">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6E41A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vAlign w:val="center"/>
          </w:tcPr>
          <w:p w14:paraId="7D6D3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每场演出费用</w:t>
            </w:r>
          </w:p>
        </w:tc>
        <w:tc>
          <w:tcPr>
            <w:tcW w:w="404" w:type="pct"/>
            <w:tcBorders>
              <w:top w:val="single" w:color="000000" w:sz="4" w:space="0"/>
              <w:left w:val="single" w:color="000000" w:sz="4" w:space="0"/>
              <w:bottom w:val="nil"/>
              <w:right w:val="single" w:color="000000" w:sz="4" w:space="0"/>
            </w:tcBorders>
            <w:shd w:val="clear"/>
            <w:vAlign w:val="center"/>
          </w:tcPr>
          <w:p w14:paraId="0C7F3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796B9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3DBA9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403" w:type="pct"/>
            <w:tcBorders>
              <w:top w:val="single" w:color="000000" w:sz="4" w:space="0"/>
              <w:left w:val="single" w:color="000000" w:sz="4" w:space="0"/>
              <w:bottom w:val="nil"/>
              <w:right w:val="single" w:color="000000" w:sz="4" w:space="0"/>
            </w:tcBorders>
            <w:shd w:val="clear"/>
            <w:vAlign w:val="center"/>
          </w:tcPr>
          <w:p w14:paraId="56698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404" w:type="pct"/>
            <w:tcBorders>
              <w:top w:val="single" w:color="000000" w:sz="4" w:space="0"/>
              <w:left w:val="single" w:color="000000" w:sz="4" w:space="0"/>
              <w:bottom w:val="nil"/>
              <w:right w:val="single" w:color="000000" w:sz="4" w:space="0"/>
            </w:tcBorders>
            <w:shd w:val="clear"/>
            <w:vAlign w:val="center"/>
          </w:tcPr>
          <w:p w14:paraId="362EC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万元</w:t>
            </w:r>
          </w:p>
        </w:tc>
        <w:tc>
          <w:tcPr>
            <w:tcW w:w="404" w:type="pct"/>
            <w:tcBorders>
              <w:top w:val="single" w:color="000000" w:sz="4" w:space="0"/>
              <w:left w:val="single" w:color="000000" w:sz="4" w:space="0"/>
              <w:bottom w:val="nil"/>
              <w:right w:val="single" w:color="000000" w:sz="4" w:space="0"/>
            </w:tcBorders>
            <w:shd w:val="clear"/>
            <w:vAlign w:val="center"/>
          </w:tcPr>
          <w:p w14:paraId="4AFAA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3B13C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4460116E">
            <w:pPr>
              <w:jc w:val="center"/>
              <w:rPr>
                <w:rFonts w:hint="eastAsia" w:ascii="宋体" w:hAnsi="宋体" w:eastAsia="宋体" w:cs="宋体"/>
                <w:i w:val="0"/>
                <w:iCs w:val="0"/>
                <w:color w:val="000000"/>
                <w:sz w:val="18"/>
                <w:szCs w:val="18"/>
                <w:u w:val="none"/>
              </w:rPr>
            </w:pPr>
          </w:p>
        </w:tc>
      </w:tr>
      <w:tr w14:paraId="1A71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2C9CC733">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759AFA6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30D3036F">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67B63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创作及改编费用</w:t>
            </w:r>
          </w:p>
        </w:tc>
        <w:tc>
          <w:tcPr>
            <w:tcW w:w="404" w:type="pct"/>
            <w:tcBorders>
              <w:top w:val="single" w:color="000000" w:sz="4" w:space="0"/>
              <w:left w:val="single" w:color="000000" w:sz="4" w:space="0"/>
              <w:bottom w:val="nil"/>
              <w:right w:val="single" w:color="000000" w:sz="4" w:space="0"/>
            </w:tcBorders>
            <w:shd w:val="clear"/>
            <w:vAlign w:val="center"/>
          </w:tcPr>
          <w:p w14:paraId="7066B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56900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70547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w:t>
            </w:r>
          </w:p>
        </w:tc>
        <w:tc>
          <w:tcPr>
            <w:tcW w:w="403" w:type="pct"/>
            <w:tcBorders>
              <w:top w:val="single" w:color="000000" w:sz="4" w:space="0"/>
              <w:left w:val="single" w:color="000000" w:sz="4" w:space="0"/>
              <w:bottom w:val="nil"/>
              <w:right w:val="single" w:color="000000" w:sz="4" w:space="0"/>
            </w:tcBorders>
            <w:shd w:val="clear"/>
            <w:vAlign w:val="center"/>
          </w:tcPr>
          <w:p w14:paraId="1237E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w:t>
            </w:r>
          </w:p>
        </w:tc>
        <w:tc>
          <w:tcPr>
            <w:tcW w:w="404" w:type="pct"/>
            <w:tcBorders>
              <w:top w:val="single" w:color="000000" w:sz="4" w:space="0"/>
              <w:left w:val="single" w:color="000000" w:sz="4" w:space="0"/>
              <w:bottom w:val="nil"/>
              <w:right w:val="single" w:color="000000" w:sz="4" w:space="0"/>
            </w:tcBorders>
            <w:shd w:val="clear"/>
            <w:vAlign w:val="center"/>
          </w:tcPr>
          <w:p w14:paraId="0AE64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万元</w:t>
            </w:r>
          </w:p>
        </w:tc>
        <w:tc>
          <w:tcPr>
            <w:tcW w:w="404" w:type="pct"/>
            <w:tcBorders>
              <w:top w:val="single" w:color="000000" w:sz="4" w:space="0"/>
              <w:left w:val="single" w:color="000000" w:sz="4" w:space="0"/>
              <w:bottom w:val="nil"/>
              <w:right w:val="single" w:color="000000" w:sz="4" w:space="0"/>
            </w:tcBorders>
            <w:shd w:val="clear"/>
            <w:vAlign w:val="center"/>
          </w:tcPr>
          <w:p w14:paraId="2D0C0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6432B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768C8EA1">
            <w:pPr>
              <w:jc w:val="center"/>
              <w:rPr>
                <w:rFonts w:hint="eastAsia" w:ascii="宋体" w:hAnsi="宋体" w:eastAsia="宋体" w:cs="宋体"/>
                <w:i w:val="0"/>
                <w:iCs w:val="0"/>
                <w:color w:val="000000"/>
                <w:sz w:val="18"/>
                <w:szCs w:val="18"/>
                <w:u w:val="none"/>
              </w:rPr>
            </w:pPr>
          </w:p>
        </w:tc>
      </w:tr>
      <w:tr w14:paraId="4416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5770EE5">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43C65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vAlign w:val="center"/>
          </w:tcPr>
          <w:p w14:paraId="132AC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经济效益</w:t>
            </w:r>
          </w:p>
        </w:tc>
        <w:tc>
          <w:tcPr>
            <w:tcW w:w="404" w:type="pct"/>
            <w:tcBorders>
              <w:top w:val="single" w:color="000000" w:sz="4" w:space="0"/>
              <w:left w:val="single" w:color="000000" w:sz="4" w:space="0"/>
              <w:bottom w:val="nil"/>
              <w:right w:val="single" w:color="000000" w:sz="4" w:space="0"/>
            </w:tcBorders>
            <w:shd w:val="clear"/>
            <w:vAlign w:val="center"/>
          </w:tcPr>
          <w:p w14:paraId="62970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w:t>
            </w:r>
          </w:p>
        </w:tc>
        <w:tc>
          <w:tcPr>
            <w:tcW w:w="404" w:type="pct"/>
            <w:tcBorders>
              <w:top w:val="single" w:color="000000" w:sz="4" w:space="0"/>
              <w:left w:val="single" w:color="000000" w:sz="4" w:space="0"/>
              <w:bottom w:val="nil"/>
              <w:right w:val="single" w:color="000000" w:sz="4" w:space="0"/>
            </w:tcBorders>
            <w:shd w:val="clear"/>
            <w:vAlign w:val="center"/>
          </w:tcPr>
          <w:p w14:paraId="7A2AC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49FCA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64F46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3" w:type="pct"/>
            <w:tcBorders>
              <w:top w:val="single" w:color="000000" w:sz="4" w:space="0"/>
              <w:left w:val="single" w:color="000000" w:sz="4" w:space="0"/>
              <w:bottom w:val="nil"/>
              <w:right w:val="single" w:color="000000" w:sz="4" w:space="0"/>
            </w:tcBorders>
            <w:shd w:val="clear"/>
            <w:vAlign w:val="center"/>
          </w:tcPr>
          <w:p w14:paraId="49F4D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4" w:type="pct"/>
            <w:tcBorders>
              <w:top w:val="single" w:color="000000" w:sz="4" w:space="0"/>
              <w:left w:val="single" w:color="000000" w:sz="4" w:space="0"/>
              <w:bottom w:val="nil"/>
              <w:right w:val="single" w:color="000000" w:sz="4" w:space="0"/>
            </w:tcBorders>
            <w:shd w:val="clear"/>
            <w:vAlign w:val="center"/>
          </w:tcPr>
          <w:p w14:paraId="2919C6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4" w:type="pct"/>
            <w:tcBorders>
              <w:top w:val="single" w:color="000000" w:sz="4" w:space="0"/>
              <w:left w:val="single" w:color="000000" w:sz="4" w:space="0"/>
              <w:bottom w:val="nil"/>
              <w:right w:val="single" w:color="000000" w:sz="4" w:space="0"/>
            </w:tcBorders>
            <w:shd w:val="clear"/>
            <w:vAlign w:val="center"/>
          </w:tcPr>
          <w:p w14:paraId="69E15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18" w:type="pct"/>
            <w:tcBorders>
              <w:top w:val="single" w:color="000000" w:sz="4" w:space="0"/>
              <w:left w:val="single" w:color="000000" w:sz="4" w:space="0"/>
              <w:bottom w:val="nil"/>
              <w:right w:val="single" w:color="000000" w:sz="4" w:space="0"/>
            </w:tcBorders>
            <w:shd w:val="clear"/>
            <w:vAlign w:val="center"/>
          </w:tcPr>
          <w:p w14:paraId="498565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39" w:type="pct"/>
            <w:tcBorders>
              <w:top w:val="single" w:color="000000" w:sz="4" w:space="0"/>
              <w:left w:val="single" w:color="000000" w:sz="4" w:space="0"/>
              <w:bottom w:val="nil"/>
              <w:right w:val="single" w:color="000000" w:sz="4" w:space="0"/>
            </w:tcBorders>
            <w:shd w:val="clear"/>
            <w:vAlign w:val="center"/>
          </w:tcPr>
          <w:p w14:paraId="5308CB6A">
            <w:pPr>
              <w:jc w:val="center"/>
              <w:rPr>
                <w:rFonts w:hint="eastAsia" w:ascii="宋体" w:hAnsi="宋体" w:eastAsia="宋体" w:cs="宋体"/>
                <w:i w:val="0"/>
                <w:iCs w:val="0"/>
                <w:color w:val="000000"/>
                <w:sz w:val="18"/>
                <w:szCs w:val="18"/>
                <w:u w:val="none"/>
              </w:rPr>
            </w:pPr>
          </w:p>
        </w:tc>
      </w:tr>
      <w:tr w14:paraId="67799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19910B3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4DC81835">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vAlign w:val="center"/>
          </w:tcPr>
          <w:p w14:paraId="11F30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vAlign w:val="center"/>
          </w:tcPr>
          <w:p w14:paraId="40AC3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提高文化需求以及提高文明程度</w:t>
            </w:r>
          </w:p>
        </w:tc>
        <w:tc>
          <w:tcPr>
            <w:tcW w:w="404" w:type="pct"/>
            <w:tcBorders>
              <w:top w:val="single" w:color="000000" w:sz="4" w:space="0"/>
              <w:left w:val="single" w:color="000000" w:sz="4" w:space="0"/>
              <w:bottom w:val="nil"/>
              <w:right w:val="single" w:color="000000" w:sz="4" w:space="0"/>
            </w:tcBorders>
            <w:shd w:val="clear"/>
            <w:vAlign w:val="center"/>
          </w:tcPr>
          <w:p w14:paraId="7EB11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6FF81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4E739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3" w:type="pct"/>
            <w:tcBorders>
              <w:top w:val="single" w:color="000000" w:sz="4" w:space="0"/>
              <w:left w:val="single" w:color="000000" w:sz="4" w:space="0"/>
              <w:bottom w:val="nil"/>
              <w:right w:val="single" w:color="000000" w:sz="4" w:space="0"/>
            </w:tcBorders>
            <w:shd w:val="clear"/>
            <w:vAlign w:val="center"/>
          </w:tcPr>
          <w:p w14:paraId="0CC19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4" w:type="pct"/>
            <w:tcBorders>
              <w:top w:val="single" w:color="000000" w:sz="4" w:space="0"/>
              <w:left w:val="single" w:color="000000" w:sz="4" w:space="0"/>
              <w:bottom w:val="nil"/>
              <w:right w:val="single" w:color="000000" w:sz="4" w:space="0"/>
            </w:tcBorders>
            <w:shd w:val="clear"/>
            <w:vAlign w:val="center"/>
          </w:tcPr>
          <w:p w14:paraId="45AD5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vAlign w:val="center"/>
          </w:tcPr>
          <w:p w14:paraId="3E648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18" w:type="pct"/>
            <w:tcBorders>
              <w:top w:val="single" w:color="000000" w:sz="4" w:space="0"/>
              <w:left w:val="single" w:color="000000" w:sz="4" w:space="0"/>
              <w:bottom w:val="nil"/>
              <w:right w:val="single" w:color="000000" w:sz="4" w:space="0"/>
            </w:tcBorders>
            <w:shd w:val="clear"/>
            <w:vAlign w:val="center"/>
          </w:tcPr>
          <w:p w14:paraId="3CD4C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39" w:type="pct"/>
            <w:tcBorders>
              <w:top w:val="single" w:color="000000" w:sz="4" w:space="0"/>
              <w:left w:val="single" w:color="000000" w:sz="4" w:space="0"/>
              <w:bottom w:val="nil"/>
              <w:right w:val="single" w:color="000000" w:sz="4" w:space="0"/>
            </w:tcBorders>
            <w:shd w:val="clear"/>
            <w:vAlign w:val="center"/>
          </w:tcPr>
          <w:p w14:paraId="4C2DC6C4">
            <w:pPr>
              <w:jc w:val="center"/>
              <w:rPr>
                <w:rFonts w:hint="eastAsia" w:ascii="宋体" w:hAnsi="宋体" w:eastAsia="宋体" w:cs="宋体"/>
                <w:i w:val="0"/>
                <w:iCs w:val="0"/>
                <w:color w:val="000000"/>
                <w:sz w:val="18"/>
                <w:szCs w:val="18"/>
                <w:u w:val="none"/>
              </w:rPr>
            </w:pPr>
          </w:p>
        </w:tc>
      </w:tr>
      <w:tr w14:paraId="78099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42C292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34728F94">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vAlign w:val="center"/>
          </w:tcPr>
          <w:p w14:paraId="203B28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vAlign w:val="center"/>
          </w:tcPr>
          <w:p w14:paraId="6D9F5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无</w:t>
            </w:r>
          </w:p>
        </w:tc>
        <w:tc>
          <w:tcPr>
            <w:tcW w:w="404" w:type="pct"/>
            <w:tcBorders>
              <w:top w:val="single" w:color="000000" w:sz="4" w:space="0"/>
              <w:left w:val="single" w:color="000000" w:sz="4" w:space="0"/>
              <w:bottom w:val="nil"/>
              <w:right w:val="single" w:color="000000" w:sz="4" w:space="0"/>
            </w:tcBorders>
            <w:shd w:val="clear"/>
            <w:vAlign w:val="center"/>
          </w:tcPr>
          <w:p w14:paraId="644D2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0F845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275B4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3" w:type="pct"/>
            <w:tcBorders>
              <w:top w:val="single" w:color="000000" w:sz="4" w:space="0"/>
              <w:left w:val="single" w:color="000000" w:sz="4" w:space="0"/>
              <w:bottom w:val="nil"/>
              <w:right w:val="single" w:color="000000" w:sz="4" w:space="0"/>
            </w:tcBorders>
            <w:shd w:val="clear"/>
            <w:vAlign w:val="center"/>
          </w:tcPr>
          <w:p w14:paraId="0F4E1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4" w:type="pct"/>
            <w:tcBorders>
              <w:top w:val="single" w:color="000000" w:sz="4" w:space="0"/>
              <w:left w:val="single" w:color="000000" w:sz="4" w:space="0"/>
              <w:bottom w:val="nil"/>
              <w:right w:val="single" w:color="000000" w:sz="4" w:space="0"/>
            </w:tcBorders>
            <w:shd w:val="clear"/>
            <w:vAlign w:val="center"/>
          </w:tcPr>
          <w:p w14:paraId="38356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4" w:type="pct"/>
            <w:tcBorders>
              <w:top w:val="single" w:color="000000" w:sz="4" w:space="0"/>
              <w:left w:val="single" w:color="000000" w:sz="4" w:space="0"/>
              <w:bottom w:val="nil"/>
              <w:right w:val="single" w:color="000000" w:sz="4" w:space="0"/>
            </w:tcBorders>
            <w:shd w:val="clear"/>
            <w:vAlign w:val="center"/>
          </w:tcPr>
          <w:p w14:paraId="6966DB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18" w:type="pct"/>
            <w:tcBorders>
              <w:top w:val="single" w:color="000000" w:sz="4" w:space="0"/>
              <w:left w:val="single" w:color="000000" w:sz="4" w:space="0"/>
              <w:bottom w:val="nil"/>
              <w:right w:val="single" w:color="000000" w:sz="4" w:space="0"/>
            </w:tcBorders>
            <w:shd w:val="clear"/>
            <w:vAlign w:val="center"/>
          </w:tcPr>
          <w:p w14:paraId="2A187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39" w:type="pct"/>
            <w:tcBorders>
              <w:top w:val="single" w:color="000000" w:sz="4" w:space="0"/>
              <w:left w:val="single" w:color="000000" w:sz="4" w:space="0"/>
              <w:bottom w:val="nil"/>
              <w:right w:val="single" w:color="000000" w:sz="4" w:space="0"/>
            </w:tcBorders>
            <w:shd w:val="clear"/>
            <w:vAlign w:val="center"/>
          </w:tcPr>
          <w:p w14:paraId="36469857">
            <w:pPr>
              <w:jc w:val="center"/>
              <w:rPr>
                <w:rFonts w:hint="eastAsia" w:ascii="宋体" w:hAnsi="宋体" w:eastAsia="宋体" w:cs="宋体"/>
                <w:i w:val="0"/>
                <w:iCs w:val="0"/>
                <w:color w:val="000000"/>
                <w:sz w:val="18"/>
                <w:szCs w:val="18"/>
                <w:u w:val="none"/>
              </w:rPr>
            </w:pPr>
          </w:p>
        </w:tc>
      </w:tr>
      <w:tr w14:paraId="6D8EF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3DDCF308">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13D4036C">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vAlign w:val="center"/>
          </w:tcPr>
          <w:p w14:paraId="58CF3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vAlign w:val="center"/>
          </w:tcPr>
          <w:p w14:paraId="6594D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不断满足人民向往美好生活的精神文化需求</w:t>
            </w:r>
          </w:p>
        </w:tc>
        <w:tc>
          <w:tcPr>
            <w:tcW w:w="404" w:type="pct"/>
            <w:tcBorders>
              <w:top w:val="single" w:color="000000" w:sz="4" w:space="0"/>
              <w:left w:val="single" w:color="000000" w:sz="4" w:space="0"/>
              <w:bottom w:val="nil"/>
              <w:right w:val="single" w:color="000000" w:sz="4" w:space="0"/>
            </w:tcBorders>
            <w:shd w:val="clear"/>
            <w:vAlign w:val="center"/>
          </w:tcPr>
          <w:p w14:paraId="6BB49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0A487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0D5508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3" w:type="pct"/>
            <w:tcBorders>
              <w:top w:val="single" w:color="000000" w:sz="4" w:space="0"/>
              <w:left w:val="single" w:color="000000" w:sz="4" w:space="0"/>
              <w:bottom w:val="nil"/>
              <w:right w:val="single" w:color="000000" w:sz="4" w:space="0"/>
            </w:tcBorders>
            <w:shd w:val="clear"/>
            <w:vAlign w:val="center"/>
          </w:tcPr>
          <w:p w14:paraId="5C0F8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4" w:type="pct"/>
            <w:tcBorders>
              <w:top w:val="single" w:color="000000" w:sz="4" w:space="0"/>
              <w:left w:val="single" w:color="000000" w:sz="4" w:space="0"/>
              <w:bottom w:val="nil"/>
              <w:right w:val="single" w:color="000000" w:sz="4" w:space="0"/>
            </w:tcBorders>
            <w:shd w:val="clear"/>
            <w:vAlign w:val="center"/>
          </w:tcPr>
          <w:p w14:paraId="71DA1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vAlign w:val="center"/>
          </w:tcPr>
          <w:p w14:paraId="10560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18" w:type="pct"/>
            <w:tcBorders>
              <w:top w:val="single" w:color="000000" w:sz="4" w:space="0"/>
              <w:left w:val="single" w:color="000000" w:sz="4" w:space="0"/>
              <w:bottom w:val="nil"/>
              <w:right w:val="single" w:color="000000" w:sz="4" w:space="0"/>
            </w:tcBorders>
            <w:shd w:val="clear"/>
            <w:vAlign w:val="center"/>
          </w:tcPr>
          <w:p w14:paraId="4F4E8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39" w:type="pct"/>
            <w:tcBorders>
              <w:top w:val="single" w:color="000000" w:sz="4" w:space="0"/>
              <w:left w:val="single" w:color="000000" w:sz="4" w:space="0"/>
              <w:bottom w:val="nil"/>
              <w:right w:val="single" w:color="000000" w:sz="4" w:space="0"/>
            </w:tcBorders>
            <w:shd w:val="clear"/>
            <w:vAlign w:val="center"/>
          </w:tcPr>
          <w:p w14:paraId="0AFCC526">
            <w:pPr>
              <w:jc w:val="center"/>
              <w:rPr>
                <w:rFonts w:hint="eastAsia" w:ascii="宋体" w:hAnsi="宋体" w:eastAsia="宋体" w:cs="宋体"/>
                <w:i w:val="0"/>
                <w:iCs w:val="0"/>
                <w:color w:val="000000"/>
                <w:sz w:val="18"/>
                <w:szCs w:val="18"/>
                <w:u w:val="none"/>
              </w:rPr>
            </w:pPr>
          </w:p>
        </w:tc>
      </w:tr>
      <w:tr w14:paraId="76927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70BC1A90">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vAlign w:val="center"/>
          </w:tcPr>
          <w:p w14:paraId="7CCCD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vAlign w:val="center"/>
          </w:tcPr>
          <w:p w14:paraId="5ABCF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vAlign w:val="center"/>
          </w:tcPr>
          <w:p w14:paraId="3EADB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群众反响以及满意程度</w:t>
            </w:r>
          </w:p>
        </w:tc>
        <w:tc>
          <w:tcPr>
            <w:tcW w:w="404" w:type="pct"/>
            <w:tcBorders>
              <w:top w:val="single" w:color="000000" w:sz="4" w:space="0"/>
              <w:left w:val="single" w:color="000000" w:sz="4" w:space="0"/>
              <w:bottom w:val="nil"/>
              <w:right w:val="single" w:color="000000" w:sz="4" w:space="0"/>
            </w:tcBorders>
            <w:shd w:val="clear"/>
            <w:vAlign w:val="center"/>
          </w:tcPr>
          <w:p w14:paraId="3719B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0AA35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0B2E5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3" w:type="pct"/>
            <w:tcBorders>
              <w:top w:val="single" w:color="000000" w:sz="4" w:space="0"/>
              <w:left w:val="single" w:color="000000" w:sz="4" w:space="0"/>
              <w:bottom w:val="nil"/>
              <w:right w:val="single" w:color="000000" w:sz="4" w:space="0"/>
            </w:tcBorders>
            <w:shd w:val="clear"/>
            <w:vAlign w:val="center"/>
          </w:tcPr>
          <w:p w14:paraId="78D63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4" w:type="pct"/>
            <w:tcBorders>
              <w:top w:val="single" w:color="000000" w:sz="4" w:space="0"/>
              <w:left w:val="single" w:color="000000" w:sz="4" w:space="0"/>
              <w:bottom w:val="nil"/>
              <w:right w:val="single" w:color="000000" w:sz="4" w:space="0"/>
            </w:tcBorders>
            <w:shd w:val="clear"/>
            <w:vAlign w:val="center"/>
          </w:tcPr>
          <w:p w14:paraId="069E42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百分比</w:t>
            </w:r>
          </w:p>
        </w:tc>
        <w:tc>
          <w:tcPr>
            <w:tcW w:w="404" w:type="pct"/>
            <w:tcBorders>
              <w:top w:val="single" w:color="000000" w:sz="4" w:space="0"/>
              <w:left w:val="single" w:color="000000" w:sz="4" w:space="0"/>
              <w:bottom w:val="nil"/>
              <w:right w:val="single" w:color="000000" w:sz="4" w:space="0"/>
            </w:tcBorders>
            <w:shd w:val="clear"/>
            <w:vAlign w:val="center"/>
          </w:tcPr>
          <w:p w14:paraId="24850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418" w:type="pct"/>
            <w:tcBorders>
              <w:top w:val="single" w:color="000000" w:sz="4" w:space="0"/>
              <w:left w:val="single" w:color="000000" w:sz="4" w:space="0"/>
              <w:bottom w:val="nil"/>
              <w:right w:val="single" w:color="000000" w:sz="4" w:space="0"/>
            </w:tcBorders>
            <w:shd w:val="clear"/>
            <w:vAlign w:val="center"/>
          </w:tcPr>
          <w:p w14:paraId="0E100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439" w:type="pct"/>
            <w:tcBorders>
              <w:top w:val="single" w:color="000000" w:sz="4" w:space="0"/>
              <w:left w:val="single" w:color="000000" w:sz="4" w:space="0"/>
              <w:bottom w:val="nil"/>
              <w:right w:val="single" w:color="000000" w:sz="4" w:space="0"/>
            </w:tcBorders>
            <w:shd w:val="clear"/>
            <w:vAlign w:val="center"/>
          </w:tcPr>
          <w:p w14:paraId="55B7E967">
            <w:pPr>
              <w:jc w:val="center"/>
              <w:rPr>
                <w:rFonts w:hint="eastAsia" w:ascii="宋体" w:hAnsi="宋体" w:eastAsia="宋体" w:cs="宋体"/>
                <w:i w:val="0"/>
                <w:iCs w:val="0"/>
                <w:color w:val="000000"/>
                <w:sz w:val="18"/>
                <w:szCs w:val="18"/>
                <w:u w:val="none"/>
              </w:rPr>
            </w:pPr>
          </w:p>
        </w:tc>
      </w:tr>
      <w:tr w14:paraId="236D5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vAlign w:val="center"/>
          </w:tcPr>
          <w:p w14:paraId="256AA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B28E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vAlign w:val="center"/>
          </w:tcPr>
          <w:p w14:paraId="2A950C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100.00</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47894C7C">
            <w:pPr>
              <w:jc w:val="center"/>
              <w:rPr>
                <w:rFonts w:hint="eastAsia" w:ascii="宋体" w:hAnsi="宋体" w:eastAsia="宋体" w:cs="宋体"/>
                <w:i w:val="0"/>
                <w:iCs w:val="0"/>
                <w:color w:val="000000"/>
                <w:sz w:val="18"/>
                <w:szCs w:val="18"/>
                <w:u w:val="none"/>
              </w:rPr>
            </w:pPr>
          </w:p>
        </w:tc>
      </w:tr>
    </w:tbl>
    <w:p w14:paraId="24AAA194">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en-US"/>
        </w:rPr>
        <w:t>聘用人员工资</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99.98</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310.00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309.56</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99.96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我团演职人员遵守单位各项规章制度，认真履行岗位职责，按时完成各项任务，无违纪违规情况，资金全部用于全团演职人员基本工资及缴纳各项社会保险。</w:t>
      </w:r>
      <w:r>
        <w:rPr>
          <w:rFonts w:ascii="FangSong_GB2312" w:hAnsi="FangSong_GB2312" w:eastAsia="FangSong_GB2312" w:cs="FangSong_GB2312"/>
          <w:kern w:val="0"/>
          <w:sz w:val="32"/>
          <w:szCs w:val="32"/>
        </w:rPr>
        <w:t>发现的主要问题及原因：</w:t>
      </w:r>
      <w:r>
        <w:rPr>
          <w:rFonts w:hint="eastAsia" w:ascii="仿宋" w:hAnsi="仿宋" w:eastAsia="仿宋" w:cs="仿宋"/>
          <w:kern w:val="2"/>
          <w:sz w:val="31"/>
          <w:szCs w:val="31"/>
          <w:u w:val="none"/>
          <w:lang w:val="en-US" w:eastAsia="zh-CN"/>
        </w:rPr>
        <w:t>暂未发现重大问题</w:t>
      </w:r>
      <w:r>
        <w:rPr>
          <w:rFonts w:hint="eastAsia" w:ascii="仿宋" w:hAnsi="仿宋" w:eastAsia="仿宋" w:cs="仿宋"/>
          <w:kern w:val="2"/>
          <w:sz w:val="31"/>
          <w:szCs w:val="31"/>
          <w:u w:val="none"/>
          <w:lang w:eastAsia="zh-CN"/>
        </w:rPr>
        <w:t>。下一步改进措施：</w:t>
      </w:r>
      <w:r>
        <w:rPr>
          <w:rFonts w:hint="eastAsia" w:ascii="仿宋" w:hAnsi="仿宋" w:eastAsia="仿宋" w:cs="仿宋"/>
          <w:kern w:val="2"/>
          <w:sz w:val="31"/>
          <w:szCs w:val="31"/>
          <w:u w:val="none"/>
          <w:lang w:val="en-US" w:eastAsia="zh-CN"/>
        </w:rPr>
        <w:t>加强绩效监控，完善资金分配</w:t>
      </w:r>
      <w:r>
        <w:rPr>
          <w:rFonts w:ascii="FangSong_GB2312" w:hAnsi="FangSong_GB2312" w:eastAsia="FangSong_GB2312" w:cs="FangSong_GB2312"/>
          <w:kern w:val="0"/>
          <w:sz w:val="32"/>
          <w:szCs w:val="32"/>
        </w:rPr>
        <w:t>。</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38"/>
        <w:gridCol w:w="738"/>
        <w:gridCol w:w="738"/>
        <w:gridCol w:w="682"/>
        <w:gridCol w:w="682"/>
        <w:gridCol w:w="684"/>
        <w:gridCol w:w="684"/>
        <w:gridCol w:w="756"/>
        <w:gridCol w:w="688"/>
        <w:gridCol w:w="683"/>
        <w:gridCol w:w="708"/>
        <w:gridCol w:w="741"/>
      </w:tblGrid>
      <w:tr w14:paraId="6F6E2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vAlign w:val="center"/>
          </w:tcPr>
          <w:p w14:paraId="5A0B542E">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bdr w:val="none" w:color="auto" w:sz="0" w:space="0"/>
                <w:lang w:val="en-US" w:eastAsia="zh-CN" w:bidi="ar"/>
              </w:rPr>
              <w:t>项目支出绩效自评表</w:t>
            </w:r>
            <w:r>
              <w:rPr>
                <w:rFonts w:hint="eastAsia" w:ascii="宋体" w:hAnsi="宋体" w:eastAsia="宋体" w:cs="宋体"/>
                <w:b/>
                <w:bCs/>
                <w:i w:val="0"/>
                <w:iCs w:val="0"/>
                <w:color w:val="000000"/>
                <w:kern w:val="0"/>
                <w:sz w:val="40"/>
                <w:szCs w:val="40"/>
                <w:u w:val="none"/>
                <w:bdr w:val="none" w:color="auto" w:sz="0" w:space="0"/>
                <w:lang w:val="en-US" w:eastAsia="zh-CN" w:bidi="ar"/>
              </w:rPr>
              <w:br w:type="textWrapping"/>
            </w:r>
            <w:r>
              <w:rPr>
                <w:rFonts w:hint="eastAsia" w:ascii="宋体" w:hAnsi="宋体" w:eastAsia="宋体" w:cs="宋体"/>
                <w:b/>
                <w:bCs/>
                <w:i w:val="0"/>
                <w:iCs w:val="0"/>
                <w:color w:val="000000"/>
                <w:kern w:val="0"/>
                <w:sz w:val="40"/>
                <w:szCs w:val="40"/>
                <w:u w:val="none"/>
                <w:bdr w:val="none" w:color="auto" w:sz="0" w:space="0"/>
                <w:lang w:val="en-US" w:eastAsia="zh-CN" w:bidi="ar"/>
              </w:rPr>
              <w:t>(2025年度）</w:t>
            </w:r>
          </w:p>
        </w:tc>
      </w:tr>
      <w:tr w14:paraId="705FA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vAlign w:val="center"/>
          </w:tcPr>
          <w:p w14:paraId="43F0C80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vAlign w:val="center"/>
          </w:tcPr>
          <w:p w14:paraId="75F116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聘用人员工资</w:t>
            </w:r>
          </w:p>
        </w:tc>
      </w:tr>
      <w:tr w14:paraId="2E41C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vAlign w:val="center"/>
          </w:tcPr>
          <w:p w14:paraId="7B8C969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vAlign w:val="center"/>
          </w:tcPr>
          <w:p w14:paraId="0C54F5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7134ECD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vAlign w:val="center"/>
          </w:tcPr>
          <w:p w14:paraId="52C85B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乌海乌兰牧骑</w:t>
            </w:r>
          </w:p>
        </w:tc>
      </w:tr>
      <w:tr w14:paraId="21436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45DFA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项目资金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1F8BF004">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15DF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47FEA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7D3DB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9473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0A971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51337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得分</w:t>
            </w:r>
          </w:p>
        </w:tc>
      </w:tr>
      <w:tr w14:paraId="341BB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27BBC2D">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04345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8E658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310</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51E35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310</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4D9D6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309.56</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36CC6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528F4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99.86</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42DEC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9.99</w:t>
            </w:r>
          </w:p>
        </w:tc>
      </w:tr>
      <w:tr w14:paraId="17069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59A0723B">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7363F1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AAB32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310</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166C7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310</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59CA9E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309.56</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44701C5">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6A909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99.86</w:t>
            </w: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50EC6D83">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03DCD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78EC362">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07D4E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1BB286A">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47DC661E">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6A6D7700">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9AFA1B4">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186671B6">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178EE3B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74B30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57638D0">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5BF9F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B9C31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253FF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2E40C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1077B0CA">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6E793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7693B835">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62E0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42097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vAlign w:val="center"/>
          </w:tcPr>
          <w:p w14:paraId="30B9D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vAlign w:val="center"/>
          </w:tcPr>
          <w:p w14:paraId="276F0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实际完成情况</w:t>
            </w:r>
          </w:p>
        </w:tc>
      </w:tr>
      <w:tr w14:paraId="01B18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598D2EA">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vAlign w:val="center"/>
          </w:tcPr>
          <w:p w14:paraId="6A4BA3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为保障我单位演职队伍稳定、完成演出任务和编创重点剧目要求，我单位将聘用人员42人，该项目主要用于42人的基本工资和缴纳各项社会保险。</w:t>
            </w:r>
          </w:p>
        </w:tc>
        <w:tc>
          <w:tcPr>
            <w:tcW w:w="2070" w:type="pct"/>
            <w:gridSpan w:val="5"/>
            <w:tcBorders>
              <w:top w:val="single" w:color="000000" w:sz="4" w:space="0"/>
              <w:left w:val="single" w:color="000000" w:sz="4" w:space="0"/>
              <w:bottom w:val="single" w:color="000000" w:sz="4" w:space="0"/>
              <w:right w:val="single" w:color="000000" w:sz="4" w:space="0"/>
            </w:tcBorders>
            <w:shd w:val="clear"/>
            <w:vAlign w:val="center"/>
          </w:tcPr>
          <w:p w14:paraId="055E9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我团演职人员遵守单位各项规章制度，认真履行岗位职责，按时完成各项任务，无违纪违规情况，资金全部用于全团演职人员基本工资及缴纳各项社会保险。</w:t>
            </w:r>
          </w:p>
        </w:tc>
      </w:tr>
      <w:tr w14:paraId="70864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vAlign w:val="center"/>
          </w:tcPr>
          <w:p w14:paraId="6A351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396C8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0C17B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207EC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6A6E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E400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7F296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vAlign w:val="center"/>
          </w:tcPr>
          <w:p w14:paraId="7C49C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608B3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FB41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vAlign w:val="center"/>
          </w:tcPr>
          <w:p w14:paraId="28B58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483043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偏差原因分析及改进措施</w:t>
            </w:r>
          </w:p>
        </w:tc>
      </w:tr>
      <w:tr w14:paraId="1880F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vAlign w:val="center"/>
          </w:tcPr>
          <w:p w14:paraId="578BF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vAlign w:val="center"/>
          </w:tcPr>
          <w:p w14:paraId="31A24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vAlign w:val="center"/>
          </w:tcPr>
          <w:p w14:paraId="24D61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vAlign w:val="center"/>
          </w:tcPr>
          <w:p w14:paraId="7A7C3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聘用人员参加演出节目数量和改编文艺作品数量</w:t>
            </w:r>
          </w:p>
        </w:tc>
        <w:tc>
          <w:tcPr>
            <w:tcW w:w="404" w:type="pct"/>
            <w:tcBorders>
              <w:top w:val="single" w:color="000000" w:sz="4" w:space="0"/>
              <w:left w:val="single" w:color="000000" w:sz="4" w:space="0"/>
              <w:bottom w:val="nil"/>
              <w:right w:val="single" w:color="000000" w:sz="4" w:space="0"/>
            </w:tcBorders>
            <w:shd w:val="clear"/>
            <w:vAlign w:val="center"/>
          </w:tcPr>
          <w:p w14:paraId="13211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4114B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6F803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5B20D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07CDF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场/件</w:t>
            </w:r>
          </w:p>
        </w:tc>
        <w:tc>
          <w:tcPr>
            <w:tcW w:w="404" w:type="pct"/>
            <w:tcBorders>
              <w:top w:val="single" w:color="000000" w:sz="4" w:space="0"/>
              <w:left w:val="single" w:color="000000" w:sz="4" w:space="0"/>
              <w:bottom w:val="nil"/>
              <w:right w:val="single" w:color="000000" w:sz="4" w:space="0"/>
            </w:tcBorders>
            <w:shd w:val="clear"/>
            <w:vAlign w:val="center"/>
          </w:tcPr>
          <w:p w14:paraId="62443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18" w:type="pct"/>
            <w:tcBorders>
              <w:top w:val="single" w:color="000000" w:sz="4" w:space="0"/>
              <w:left w:val="single" w:color="000000" w:sz="4" w:space="0"/>
              <w:bottom w:val="nil"/>
              <w:right w:val="single" w:color="000000" w:sz="4" w:space="0"/>
            </w:tcBorders>
            <w:shd w:val="clear"/>
            <w:vAlign w:val="center"/>
          </w:tcPr>
          <w:p w14:paraId="68CFC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39" w:type="pct"/>
            <w:tcBorders>
              <w:top w:val="single" w:color="000000" w:sz="4" w:space="0"/>
              <w:left w:val="single" w:color="000000" w:sz="4" w:space="0"/>
              <w:bottom w:val="nil"/>
              <w:right w:val="single" w:color="000000" w:sz="4" w:space="0"/>
            </w:tcBorders>
            <w:shd w:val="clear"/>
            <w:vAlign w:val="center"/>
          </w:tcPr>
          <w:p w14:paraId="025F3718">
            <w:pPr>
              <w:jc w:val="center"/>
              <w:rPr>
                <w:rFonts w:hint="eastAsia" w:ascii="宋体" w:hAnsi="宋体" w:eastAsia="宋体" w:cs="宋体"/>
                <w:i w:val="0"/>
                <w:iCs w:val="0"/>
                <w:color w:val="000000"/>
                <w:sz w:val="18"/>
                <w:szCs w:val="18"/>
                <w:u w:val="none"/>
              </w:rPr>
            </w:pPr>
          </w:p>
        </w:tc>
      </w:tr>
      <w:tr w14:paraId="7E958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6165D7C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7E709C3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2EC986E0">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15975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支付聘用人员的工资人数及社保社费人数</w:t>
            </w:r>
          </w:p>
        </w:tc>
        <w:tc>
          <w:tcPr>
            <w:tcW w:w="404" w:type="pct"/>
            <w:tcBorders>
              <w:top w:val="single" w:color="000000" w:sz="4" w:space="0"/>
              <w:left w:val="single" w:color="000000" w:sz="4" w:space="0"/>
              <w:bottom w:val="nil"/>
              <w:right w:val="single" w:color="000000" w:sz="4" w:space="0"/>
            </w:tcBorders>
            <w:shd w:val="clear"/>
            <w:vAlign w:val="center"/>
          </w:tcPr>
          <w:p w14:paraId="3E24B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78AFD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7310AF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403" w:type="pct"/>
            <w:tcBorders>
              <w:top w:val="single" w:color="000000" w:sz="4" w:space="0"/>
              <w:left w:val="single" w:color="000000" w:sz="4" w:space="0"/>
              <w:bottom w:val="nil"/>
              <w:right w:val="single" w:color="000000" w:sz="4" w:space="0"/>
            </w:tcBorders>
            <w:shd w:val="clear"/>
            <w:vAlign w:val="center"/>
          </w:tcPr>
          <w:p w14:paraId="6E0442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404" w:type="pct"/>
            <w:tcBorders>
              <w:top w:val="single" w:color="000000" w:sz="4" w:space="0"/>
              <w:left w:val="single" w:color="000000" w:sz="4" w:space="0"/>
              <w:bottom w:val="nil"/>
              <w:right w:val="single" w:color="000000" w:sz="4" w:space="0"/>
            </w:tcBorders>
            <w:shd w:val="clear"/>
            <w:vAlign w:val="center"/>
          </w:tcPr>
          <w:p w14:paraId="020EEE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w:t>
            </w:r>
          </w:p>
        </w:tc>
        <w:tc>
          <w:tcPr>
            <w:tcW w:w="404" w:type="pct"/>
            <w:tcBorders>
              <w:top w:val="single" w:color="000000" w:sz="4" w:space="0"/>
              <w:left w:val="single" w:color="000000" w:sz="4" w:space="0"/>
              <w:bottom w:val="nil"/>
              <w:right w:val="single" w:color="000000" w:sz="4" w:space="0"/>
            </w:tcBorders>
            <w:shd w:val="clear"/>
            <w:vAlign w:val="center"/>
          </w:tcPr>
          <w:p w14:paraId="6BFAA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18" w:type="pct"/>
            <w:tcBorders>
              <w:top w:val="single" w:color="000000" w:sz="4" w:space="0"/>
              <w:left w:val="single" w:color="000000" w:sz="4" w:space="0"/>
              <w:bottom w:val="nil"/>
              <w:right w:val="single" w:color="000000" w:sz="4" w:space="0"/>
            </w:tcBorders>
            <w:shd w:val="clear"/>
            <w:vAlign w:val="center"/>
          </w:tcPr>
          <w:p w14:paraId="75FFE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39" w:type="pct"/>
            <w:tcBorders>
              <w:top w:val="single" w:color="000000" w:sz="4" w:space="0"/>
              <w:left w:val="single" w:color="000000" w:sz="4" w:space="0"/>
              <w:bottom w:val="nil"/>
              <w:right w:val="single" w:color="000000" w:sz="4" w:space="0"/>
            </w:tcBorders>
            <w:shd w:val="clear"/>
            <w:vAlign w:val="center"/>
          </w:tcPr>
          <w:p w14:paraId="5835070F">
            <w:pPr>
              <w:jc w:val="center"/>
              <w:rPr>
                <w:rFonts w:hint="eastAsia" w:ascii="宋体" w:hAnsi="宋体" w:eastAsia="宋体" w:cs="宋体"/>
                <w:i w:val="0"/>
                <w:iCs w:val="0"/>
                <w:color w:val="000000"/>
                <w:sz w:val="18"/>
                <w:szCs w:val="18"/>
                <w:u w:val="none"/>
              </w:rPr>
            </w:pPr>
          </w:p>
        </w:tc>
      </w:tr>
      <w:tr w14:paraId="571B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7DCEFC4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2A746821">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119FB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vAlign w:val="center"/>
          </w:tcPr>
          <w:p w14:paraId="66989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演出场次</w:t>
            </w:r>
          </w:p>
        </w:tc>
        <w:tc>
          <w:tcPr>
            <w:tcW w:w="404" w:type="pct"/>
            <w:tcBorders>
              <w:top w:val="single" w:color="000000" w:sz="4" w:space="0"/>
              <w:left w:val="single" w:color="000000" w:sz="4" w:space="0"/>
              <w:bottom w:val="nil"/>
              <w:right w:val="single" w:color="000000" w:sz="4" w:space="0"/>
            </w:tcBorders>
            <w:shd w:val="clear"/>
            <w:vAlign w:val="center"/>
          </w:tcPr>
          <w:p w14:paraId="3F3F6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6A660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70D31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3" w:type="pct"/>
            <w:tcBorders>
              <w:top w:val="single" w:color="000000" w:sz="4" w:space="0"/>
              <w:left w:val="single" w:color="000000" w:sz="4" w:space="0"/>
              <w:bottom w:val="nil"/>
              <w:right w:val="single" w:color="000000" w:sz="4" w:space="0"/>
            </w:tcBorders>
            <w:shd w:val="clear"/>
            <w:vAlign w:val="center"/>
          </w:tcPr>
          <w:p w14:paraId="62782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4" w:type="pct"/>
            <w:tcBorders>
              <w:top w:val="single" w:color="000000" w:sz="4" w:space="0"/>
              <w:left w:val="single" w:color="000000" w:sz="4" w:space="0"/>
              <w:bottom w:val="nil"/>
              <w:right w:val="single" w:color="000000" w:sz="4" w:space="0"/>
            </w:tcBorders>
            <w:shd w:val="clear"/>
            <w:vAlign w:val="center"/>
          </w:tcPr>
          <w:p w14:paraId="3C278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场</w:t>
            </w:r>
          </w:p>
        </w:tc>
        <w:tc>
          <w:tcPr>
            <w:tcW w:w="404" w:type="pct"/>
            <w:tcBorders>
              <w:top w:val="single" w:color="000000" w:sz="4" w:space="0"/>
              <w:left w:val="single" w:color="000000" w:sz="4" w:space="0"/>
              <w:bottom w:val="nil"/>
              <w:right w:val="single" w:color="000000" w:sz="4" w:space="0"/>
            </w:tcBorders>
            <w:shd w:val="clear"/>
            <w:vAlign w:val="center"/>
          </w:tcPr>
          <w:p w14:paraId="2C29F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18" w:type="pct"/>
            <w:tcBorders>
              <w:top w:val="single" w:color="000000" w:sz="4" w:space="0"/>
              <w:left w:val="single" w:color="000000" w:sz="4" w:space="0"/>
              <w:bottom w:val="nil"/>
              <w:right w:val="single" w:color="000000" w:sz="4" w:space="0"/>
            </w:tcBorders>
            <w:shd w:val="clear"/>
            <w:vAlign w:val="center"/>
          </w:tcPr>
          <w:p w14:paraId="4A7409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39" w:type="pct"/>
            <w:tcBorders>
              <w:top w:val="single" w:color="000000" w:sz="4" w:space="0"/>
              <w:left w:val="single" w:color="000000" w:sz="4" w:space="0"/>
              <w:bottom w:val="nil"/>
              <w:right w:val="single" w:color="000000" w:sz="4" w:space="0"/>
            </w:tcBorders>
            <w:shd w:val="clear"/>
            <w:vAlign w:val="center"/>
          </w:tcPr>
          <w:p w14:paraId="53AA67FB">
            <w:pPr>
              <w:jc w:val="center"/>
              <w:rPr>
                <w:rFonts w:hint="eastAsia" w:ascii="宋体" w:hAnsi="宋体" w:eastAsia="宋体" w:cs="宋体"/>
                <w:i w:val="0"/>
                <w:iCs w:val="0"/>
                <w:color w:val="000000"/>
                <w:sz w:val="18"/>
                <w:szCs w:val="18"/>
                <w:u w:val="none"/>
              </w:rPr>
            </w:pPr>
          </w:p>
        </w:tc>
      </w:tr>
      <w:tr w14:paraId="6827B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5C343DCD">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3A7F2E6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4BBAA5B2">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4B506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聘用人员出勤率</w:t>
            </w:r>
          </w:p>
        </w:tc>
        <w:tc>
          <w:tcPr>
            <w:tcW w:w="404" w:type="pct"/>
            <w:tcBorders>
              <w:top w:val="single" w:color="000000" w:sz="4" w:space="0"/>
              <w:left w:val="single" w:color="000000" w:sz="4" w:space="0"/>
              <w:bottom w:val="nil"/>
              <w:right w:val="single" w:color="000000" w:sz="4" w:space="0"/>
            </w:tcBorders>
            <w:shd w:val="clear"/>
            <w:vAlign w:val="center"/>
          </w:tcPr>
          <w:p w14:paraId="3D455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66A6FE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53FF6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46615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0228C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2544D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18" w:type="pct"/>
            <w:tcBorders>
              <w:top w:val="single" w:color="000000" w:sz="4" w:space="0"/>
              <w:left w:val="single" w:color="000000" w:sz="4" w:space="0"/>
              <w:bottom w:val="nil"/>
              <w:right w:val="single" w:color="000000" w:sz="4" w:space="0"/>
            </w:tcBorders>
            <w:shd w:val="clear"/>
            <w:vAlign w:val="center"/>
          </w:tcPr>
          <w:p w14:paraId="1E9A6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39" w:type="pct"/>
            <w:tcBorders>
              <w:top w:val="single" w:color="000000" w:sz="4" w:space="0"/>
              <w:left w:val="single" w:color="000000" w:sz="4" w:space="0"/>
              <w:bottom w:val="nil"/>
              <w:right w:val="single" w:color="000000" w:sz="4" w:space="0"/>
            </w:tcBorders>
            <w:shd w:val="clear"/>
            <w:vAlign w:val="center"/>
          </w:tcPr>
          <w:p w14:paraId="5035A6EE">
            <w:pPr>
              <w:jc w:val="center"/>
              <w:rPr>
                <w:rFonts w:hint="eastAsia" w:ascii="宋体" w:hAnsi="宋体" w:eastAsia="宋体" w:cs="宋体"/>
                <w:i w:val="0"/>
                <w:iCs w:val="0"/>
                <w:color w:val="000000"/>
                <w:sz w:val="18"/>
                <w:szCs w:val="18"/>
                <w:u w:val="none"/>
              </w:rPr>
            </w:pPr>
          </w:p>
        </w:tc>
      </w:tr>
      <w:tr w14:paraId="7E8EC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29C3AD7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04CBCF17">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7D718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vAlign w:val="center"/>
          </w:tcPr>
          <w:p w14:paraId="1C186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截至年末演出完成率</w:t>
            </w:r>
          </w:p>
        </w:tc>
        <w:tc>
          <w:tcPr>
            <w:tcW w:w="404" w:type="pct"/>
            <w:tcBorders>
              <w:top w:val="single" w:color="000000" w:sz="4" w:space="0"/>
              <w:left w:val="single" w:color="000000" w:sz="4" w:space="0"/>
              <w:bottom w:val="nil"/>
              <w:right w:val="single" w:color="000000" w:sz="4" w:space="0"/>
            </w:tcBorders>
            <w:shd w:val="clear"/>
            <w:vAlign w:val="center"/>
          </w:tcPr>
          <w:p w14:paraId="2A83B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163DE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31286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533CB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679157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18192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03FEF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76A6A2A8">
            <w:pPr>
              <w:jc w:val="center"/>
              <w:rPr>
                <w:rFonts w:hint="eastAsia" w:ascii="宋体" w:hAnsi="宋体" w:eastAsia="宋体" w:cs="宋体"/>
                <w:i w:val="0"/>
                <w:iCs w:val="0"/>
                <w:color w:val="000000"/>
                <w:sz w:val="18"/>
                <w:szCs w:val="18"/>
                <w:u w:val="none"/>
              </w:rPr>
            </w:pPr>
          </w:p>
        </w:tc>
      </w:tr>
      <w:tr w14:paraId="7774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7E54704F">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666469A3">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27B562CE">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60493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截至年末完成全年聘用人员各项经费支付率</w:t>
            </w:r>
          </w:p>
        </w:tc>
        <w:tc>
          <w:tcPr>
            <w:tcW w:w="404" w:type="pct"/>
            <w:tcBorders>
              <w:top w:val="single" w:color="000000" w:sz="4" w:space="0"/>
              <w:left w:val="single" w:color="000000" w:sz="4" w:space="0"/>
              <w:bottom w:val="nil"/>
              <w:right w:val="single" w:color="000000" w:sz="4" w:space="0"/>
            </w:tcBorders>
            <w:shd w:val="clear"/>
            <w:vAlign w:val="center"/>
          </w:tcPr>
          <w:p w14:paraId="16D9FD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176DB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05114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68E40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2C6E0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48DB7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1C86A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0E9F03F0">
            <w:pPr>
              <w:jc w:val="center"/>
              <w:rPr>
                <w:rFonts w:hint="eastAsia" w:ascii="宋体" w:hAnsi="宋体" w:eastAsia="宋体" w:cs="宋体"/>
                <w:i w:val="0"/>
                <w:iCs w:val="0"/>
                <w:color w:val="000000"/>
                <w:sz w:val="18"/>
                <w:szCs w:val="18"/>
                <w:u w:val="none"/>
              </w:rPr>
            </w:pPr>
          </w:p>
        </w:tc>
      </w:tr>
      <w:tr w14:paraId="40DD2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5E82A6E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4D0BD8E0">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5481AF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vAlign w:val="center"/>
          </w:tcPr>
          <w:p w14:paraId="44BA4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全年支付聘用人员工资及缴纳社会保险</w:t>
            </w:r>
          </w:p>
        </w:tc>
        <w:tc>
          <w:tcPr>
            <w:tcW w:w="404" w:type="pct"/>
            <w:tcBorders>
              <w:top w:val="single" w:color="000000" w:sz="4" w:space="0"/>
              <w:left w:val="single" w:color="000000" w:sz="4" w:space="0"/>
              <w:bottom w:val="nil"/>
              <w:right w:val="single" w:color="000000" w:sz="4" w:space="0"/>
            </w:tcBorders>
            <w:shd w:val="clear"/>
            <w:vAlign w:val="center"/>
          </w:tcPr>
          <w:p w14:paraId="78595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40E07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68E20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310</w:t>
            </w:r>
          </w:p>
        </w:tc>
        <w:tc>
          <w:tcPr>
            <w:tcW w:w="403" w:type="pct"/>
            <w:tcBorders>
              <w:top w:val="single" w:color="000000" w:sz="4" w:space="0"/>
              <w:left w:val="single" w:color="000000" w:sz="4" w:space="0"/>
              <w:bottom w:val="nil"/>
              <w:right w:val="single" w:color="000000" w:sz="4" w:space="0"/>
            </w:tcBorders>
            <w:shd w:val="clear"/>
            <w:vAlign w:val="center"/>
          </w:tcPr>
          <w:p w14:paraId="0E381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309.56</w:t>
            </w:r>
          </w:p>
        </w:tc>
        <w:tc>
          <w:tcPr>
            <w:tcW w:w="404" w:type="pct"/>
            <w:tcBorders>
              <w:top w:val="single" w:color="000000" w:sz="4" w:space="0"/>
              <w:left w:val="single" w:color="000000" w:sz="4" w:space="0"/>
              <w:bottom w:val="nil"/>
              <w:right w:val="single" w:color="000000" w:sz="4" w:space="0"/>
            </w:tcBorders>
            <w:shd w:val="clear"/>
            <w:vAlign w:val="center"/>
          </w:tcPr>
          <w:p w14:paraId="78346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万元</w:t>
            </w:r>
          </w:p>
        </w:tc>
        <w:tc>
          <w:tcPr>
            <w:tcW w:w="404" w:type="pct"/>
            <w:tcBorders>
              <w:top w:val="single" w:color="000000" w:sz="4" w:space="0"/>
              <w:left w:val="single" w:color="000000" w:sz="4" w:space="0"/>
              <w:bottom w:val="nil"/>
              <w:right w:val="single" w:color="000000" w:sz="4" w:space="0"/>
            </w:tcBorders>
            <w:shd w:val="clear"/>
            <w:vAlign w:val="center"/>
          </w:tcPr>
          <w:p w14:paraId="3140B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4DD6D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4.99</w:t>
            </w:r>
          </w:p>
        </w:tc>
        <w:tc>
          <w:tcPr>
            <w:tcW w:w="439" w:type="pct"/>
            <w:tcBorders>
              <w:top w:val="single" w:color="000000" w:sz="4" w:space="0"/>
              <w:left w:val="single" w:color="000000" w:sz="4" w:space="0"/>
              <w:bottom w:val="nil"/>
              <w:right w:val="single" w:color="000000" w:sz="4" w:space="0"/>
            </w:tcBorders>
            <w:shd w:val="clear"/>
            <w:vAlign w:val="center"/>
          </w:tcPr>
          <w:p w14:paraId="5325DE88">
            <w:pPr>
              <w:jc w:val="center"/>
              <w:rPr>
                <w:rFonts w:hint="eastAsia" w:ascii="宋体" w:hAnsi="宋体" w:eastAsia="宋体" w:cs="宋体"/>
                <w:i w:val="0"/>
                <w:iCs w:val="0"/>
                <w:color w:val="000000"/>
                <w:sz w:val="18"/>
                <w:szCs w:val="18"/>
                <w:u w:val="none"/>
              </w:rPr>
            </w:pPr>
          </w:p>
        </w:tc>
      </w:tr>
      <w:tr w14:paraId="411FE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E040914">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1F159422">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6151F96B">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2DC18E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聘用人员工资及社保费</w:t>
            </w:r>
          </w:p>
        </w:tc>
        <w:tc>
          <w:tcPr>
            <w:tcW w:w="404" w:type="pct"/>
            <w:tcBorders>
              <w:top w:val="single" w:color="000000" w:sz="4" w:space="0"/>
              <w:left w:val="single" w:color="000000" w:sz="4" w:space="0"/>
              <w:bottom w:val="nil"/>
              <w:right w:val="single" w:color="000000" w:sz="4" w:space="0"/>
            </w:tcBorders>
            <w:shd w:val="clear"/>
            <w:vAlign w:val="center"/>
          </w:tcPr>
          <w:p w14:paraId="1033A9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7E11D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3BADC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6150</w:t>
            </w:r>
          </w:p>
        </w:tc>
        <w:tc>
          <w:tcPr>
            <w:tcW w:w="403" w:type="pct"/>
            <w:tcBorders>
              <w:top w:val="single" w:color="000000" w:sz="4" w:space="0"/>
              <w:left w:val="single" w:color="000000" w:sz="4" w:space="0"/>
              <w:bottom w:val="nil"/>
              <w:right w:val="single" w:color="000000" w:sz="4" w:space="0"/>
            </w:tcBorders>
            <w:shd w:val="clear"/>
            <w:vAlign w:val="center"/>
          </w:tcPr>
          <w:p w14:paraId="03F74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6150</w:t>
            </w:r>
          </w:p>
        </w:tc>
        <w:tc>
          <w:tcPr>
            <w:tcW w:w="404" w:type="pct"/>
            <w:tcBorders>
              <w:top w:val="single" w:color="000000" w:sz="4" w:space="0"/>
              <w:left w:val="single" w:color="000000" w:sz="4" w:space="0"/>
              <w:bottom w:val="nil"/>
              <w:right w:val="single" w:color="000000" w:sz="4" w:space="0"/>
            </w:tcBorders>
            <w:shd w:val="clear"/>
            <w:vAlign w:val="center"/>
          </w:tcPr>
          <w:p w14:paraId="0F748D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元/月/人</w:t>
            </w:r>
          </w:p>
        </w:tc>
        <w:tc>
          <w:tcPr>
            <w:tcW w:w="404" w:type="pct"/>
            <w:tcBorders>
              <w:top w:val="single" w:color="000000" w:sz="4" w:space="0"/>
              <w:left w:val="single" w:color="000000" w:sz="4" w:space="0"/>
              <w:bottom w:val="nil"/>
              <w:right w:val="single" w:color="000000" w:sz="4" w:space="0"/>
            </w:tcBorders>
            <w:shd w:val="clear"/>
            <w:vAlign w:val="center"/>
          </w:tcPr>
          <w:p w14:paraId="2B368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55F07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5C5CDF82">
            <w:pPr>
              <w:jc w:val="center"/>
              <w:rPr>
                <w:rFonts w:hint="eastAsia" w:ascii="宋体" w:hAnsi="宋体" w:eastAsia="宋体" w:cs="宋体"/>
                <w:i w:val="0"/>
                <w:iCs w:val="0"/>
                <w:color w:val="000000"/>
                <w:sz w:val="18"/>
                <w:szCs w:val="18"/>
                <w:u w:val="none"/>
              </w:rPr>
            </w:pPr>
          </w:p>
        </w:tc>
      </w:tr>
      <w:tr w14:paraId="7A5D2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699B24D0">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57A2E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vAlign w:val="center"/>
          </w:tcPr>
          <w:p w14:paraId="4DE3B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vAlign w:val="center"/>
          </w:tcPr>
          <w:p w14:paraId="7A4D5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提高文化需求以及提高社会文明程度</w:t>
            </w:r>
          </w:p>
        </w:tc>
        <w:tc>
          <w:tcPr>
            <w:tcW w:w="404" w:type="pct"/>
            <w:tcBorders>
              <w:top w:val="single" w:color="000000" w:sz="4" w:space="0"/>
              <w:left w:val="single" w:color="000000" w:sz="4" w:space="0"/>
              <w:bottom w:val="nil"/>
              <w:right w:val="single" w:color="000000" w:sz="4" w:space="0"/>
            </w:tcBorders>
            <w:shd w:val="clear"/>
            <w:vAlign w:val="center"/>
          </w:tcPr>
          <w:p w14:paraId="5EEC9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0491B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等于</w:t>
            </w:r>
          </w:p>
        </w:tc>
        <w:tc>
          <w:tcPr>
            <w:tcW w:w="404" w:type="pct"/>
            <w:tcBorders>
              <w:top w:val="single" w:color="000000" w:sz="4" w:space="0"/>
              <w:left w:val="single" w:color="000000" w:sz="4" w:space="0"/>
              <w:bottom w:val="nil"/>
              <w:right w:val="single" w:color="000000" w:sz="4" w:space="0"/>
            </w:tcBorders>
            <w:shd w:val="clear"/>
            <w:vAlign w:val="center"/>
          </w:tcPr>
          <w:p w14:paraId="0FF101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3" w:type="pct"/>
            <w:tcBorders>
              <w:top w:val="single" w:color="000000" w:sz="4" w:space="0"/>
              <w:left w:val="single" w:color="000000" w:sz="4" w:space="0"/>
              <w:bottom w:val="nil"/>
              <w:right w:val="single" w:color="000000" w:sz="4" w:space="0"/>
            </w:tcBorders>
            <w:shd w:val="clear"/>
            <w:vAlign w:val="center"/>
          </w:tcPr>
          <w:p w14:paraId="39C18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4" w:type="pct"/>
            <w:tcBorders>
              <w:top w:val="single" w:color="000000" w:sz="4" w:space="0"/>
              <w:left w:val="single" w:color="000000" w:sz="4" w:space="0"/>
              <w:bottom w:val="nil"/>
              <w:right w:val="single" w:color="000000" w:sz="4" w:space="0"/>
            </w:tcBorders>
            <w:shd w:val="clear"/>
            <w:vAlign w:val="center"/>
          </w:tcPr>
          <w:p w14:paraId="3CEE89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4D846A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18" w:type="pct"/>
            <w:tcBorders>
              <w:top w:val="single" w:color="000000" w:sz="4" w:space="0"/>
              <w:left w:val="single" w:color="000000" w:sz="4" w:space="0"/>
              <w:bottom w:val="nil"/>
              <w:right w:val="single" w:color="000000" w:sz="4" w:space="0"/>
            </w:tcBorders>
            <w:shd w:val="clear"/>
            <w:vAlign w:val="center"/>
          </w:tcPr>
          <w:p w14:paraId="42138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39" w:type="pct"/>
            <w:tcBorders>
              <w:top w:val="single" w:color="000000" w:sz="4" w:space="0"/>
              <w:left w:val="single" w:color="000000" w:sz="4" w:space="0"/>
              <w:bottom w:val="nil"/>
              <w:right w:val="single" w:color="000000" w:sz="4" w:space="0"/>
            </w:tcBorders>
            <w:shd w:val="clear"/>
            <w:vAlign w:val="center"/>
          </w:tcPr>
          <w:p w14:paraId="666571CF">
            <w:pPr>
              <w:jc w:val="center"/>
              <w:rPr>
                <w:rFonts w:hint="eastAsia" w:ascii="宋体" w:hAnsi="宋体" w:eastAsia="宋体" w:cs="宋体"/>
                <w:i w:val="0"/>
                <w:iCs w:val="0"/>
                <w:color w:val="000000"/>
                <w:sz w:val="18"/>
                <w:szCs w:val="18"/>
                <w:u w:val="none"/>
              </w:rPr>
            </w:pPr>
          </w:p>
        </w:tc>
      </w:tr>
      <w:tr w14:paraId="3E05E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551DD48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58C47C2F">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vAlign w:val="center"/>
          </w:tcPr>
          <w:p w14:paraId="1D42C0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vAlign w:val="center"/>
          </w:tcPr>
          <w:p w14:paraId="0A322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不断满足人民向往美好生活的精神文化需求</w:t>
            </w:r>
          </w:p>
        </w:tc>
        <w:tc>
          <w:tcPr>
            <w:tcW w:w="404" w:type="pct"/>
            <w:tcBorders>
              <w:top w:val="single" w:color="000000" w:sz="4" w:space="0"/>
              <w:left w:val="single" w:color="000000" w:sz="4" w:space="0"/>
              <w:bottom w:val="nil"/>
              <w:right w:val="single" w:color="000000" w:sz="4" w:space="0"/>
            </w:tcBorders>
            <w:shd w:val="clear"/>
            <w:vAlign w:val="center"/>
          </w:tcPr>
          <w:p w14:paraId="24753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7DDA8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等于</w:t>
            </w:r>
          </w:p>
        </w:tc>
        <w:tc>
          <w:tcPr>
            <w:tcW w:w="404" w:type="pct"/>
            <w:tcBorders>
              <w:top w:val="single" w:color="000000" w:sz="4" w:space="0"/>
              <w:left w:val="single" w:color="000000" w:sz="4" w:space="0"/>
              <w:bottom w:val="nil"/>
              <w:right w:val="single" w:color="000000" w:sz="4" w:space="0"/>
            </w:tcBorders>
            <w:shd w:val="clear"/>
            <w:vAlign w:val="center"/>
          </w:tcPr>
          <w:p w14:paraId="2B1D9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3" w:type="pct"/>
            <w:tcBorders>
              <w:top w:val="single" w:color="000000" w:sz="4" w:space="0"/>
              <w:left w:val="single" w:color="000000" w:sz="4" w:space="0"/>
              <w:bottom w:val="nil"/>
              <w:right w:val="single" w:color="000000" w:sz="4" w:space="0"/>
            </w:tcBorders>
            <w:shd w:val="clear"/>
            <w:vAlign w:val="center"/>
          </w:tcPr>
          <w:p w14:paraId="108B3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4" w:type="pct"/>
            <w:tcBorders>
              <w:top w:val="single" w:color="000000" w:sz="4" w:space="0"/>
              <w:left w:val="single" w:color="000000" w:sz="4" w:space="0"/>
              <w:bottom w:val="nil"/>
              <w:right w:val="single" w:color="000000" w:sz="4" w:space="0"/>
            </w:tcBorders>
            <w:shd w:val="clear"/>
            <w:vAlign w:val="center"/>
          </w:tcPr>
          <w:p w14:paraId="7A70B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466A2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18" w:type="pct"/>
            <w:tcBorders>
              <w:top w:val="single" w:color="000000" w:sz="4" w:space="0"/>
              <w:left w:val="single" w:color="000000" w:sz="4" w:space="0"/>
              <w:bottom w:val="nil"/>
              <w:right w:val="single" w:color="000000" w:sz="4" w:space="0"/>
            </w:tcBorders>
            <w:shd w:val="clear"/>
            <w:vAlign w:val="center"/>
          </w:tcPr>
          <w:p w14:paraId="575F5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39" w:type="pct"/>
            <w:tcBorders>
              <w:top w:val="single" w:color="000000" w:sz="4" w:space="0"/>
              <w:left w:val="single" w:color="000000" w:sz="4" w:space="0"/>
              <w:bottom w:val="nil"/>
              <w:right w:val="single" w:color="000000" w:sz="4" w:space="0"/>
            </w:tcBorders>
            <w:shd w:val="clear"/>
            <w:vAlign w:val="center"/>
          </w:tcPr>
          <w:p w14:paraId="0842BE24">
            <w:pPr>
              <w:jc w:val="center"/>
              <w:rPr>
                <w:rFonts w:hint="eastAsia" w:ascii="宋体" w:hAnsi="宋体" w:eastAsia="宋体" w:cs="宋体"/>
                <w:i w:val="0"/>
                <w:iCs w:val="0"/>
                <w:color w:val="000000"/>
                <w:sz w:val="18"/>
                <w:szCs w:val="18"/>
                <w:u w:val="none"/>
              </w:rPr>
            </w:pPr>
          </w:p>
        </w:tc>
      </w:tr>
      <w:tr w14:paraId="1A628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106D5BFD">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vAlign w:val="center"/>
          </w:tcPr>
          <w:p w14:paraId="0E079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vAlign w:val="center"/>
          </w:tcPr>
          <w:p w14:paraId="6E82E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vAlign w:val="center"/>
          </w:tcPr>
          <w:p w14:paraId="3BC0E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群众反响以及满意程度</w:t>
            </w:r>
          </w:p>
        </w:tc>
        <w:tc>
          <w:tcPr>
            <w:tcW w:w="404" w:type="pct"/>
            <w:tcBorders>
              <w:top w:val="single" w:color="000000" w:sz="4" w:space="0"/>
              <w:left w:val="single" w:color="000000" w:sz="4" w:space="0"/>
              <w:bottom w:val="nil"/>
              <w:right w:val="single" w:color="000000" w:sz="4" w:space="0"/>
            </w:tcBorders>
            <w:shd w:val="clear"/>
            <w:vAlign w:val="center"/>
          </w:tcPr>
          <w:p w14:paraId="2F8B2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7ECFB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vAlign w:val="center"/>
          </w:tcPr>
          <w:p w14:paraId="4C978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5611D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0DB85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074CA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418" w:type="pct"/>
            <w:tcBorders>
              <w:top w:val="single" w:color="000000" w:sz="4" w:space="0"/>
              <w:left w:val="single" w:color="000000" w:sz="4" w:space="0"/>
              <w:bottom w:val="nil"/>
              <w:right w:val="single" w:color="000000" w:sz="4" w:space="0"/>
            </w:tcBorders>
            <w:shd w:val="clear"/>
            <w:vAlign w:val="center"/>
          </w:tcPr>
          <w:p w14:paraId="60E21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439" w:type="pct"/>
            <w:tcBorders>
              <w:top w:val="single" w:color="000000" w:sz="4" w:space="0"/>
              <w:left w:val="single" w:color="000000" w:sz="4" w:space="0"/>
              <w:bottom w:val="nil"/>
              <w:right w:val="single" w:color="000000" w:sz="4" w:space="0"/>
            </w:tcBorders>
            <w:shd w:val="clear"/>
            <w:vAlign w:val="center"/>
          </w:tcPr>
          <w:p w14:paraId="431CA98D">
            <w:pPr>
              <w:jc w:val="center"/>
              <w:rPr>
                <w:rFonts w:hint="eastAsia" w:ascii="宋体" w:hAnsi="宋体" w:eastAsia="宋体" w:cs="宋体"/>
                <w:i w:val="0"/>
                <w:iCs w:val="0"/>
                <w:color w:val="000000"/>
                <w:sz w:val="18"/>
                <w:szCs w:val="18"/>
                <w:u w:val="none"/>
              </w:rPr>
            </w:pPr>
          </w:p>
        </w:tc>
      </w:tr>
      <w:tr w14:paraId="1ACF7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vAlign w:val="center"/>
          </w:tcPr>
          <w:p w14:paraId="5F605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CE53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vAlign w:val="center"/>
          </w:tcPr>
          <w:p w14:paraId="2BA99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99.98</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3FE88B2A">
            <w:pPr>
              <w:jc w:val="center"/>
              <w:rPr>
                <w:rFonts w:hint="eastAsia" w:ascii="宋体" w:hAnsi="宋体" w:eastAsia="宋体" w:cs="宋体"/>
                <w:i w:val="0"/>
                <w:iCs w:val="0"/>
                <w:color w:val="000000"/>
                <w:sz w:val="18"/>
                <w:szCs w:val="18"/>
                <w:u w:val="none"/>
              </w:rPr>
            </w:pPr>
          </w:p>
        </w:tc>
      </w:tr>
    </w:tbl>
    <w:p w14:paraId="16444234">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val="en-US" w:eastAsia="zh-CN"/>
        </w:rPr>
        <w:t>3</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en-US"/>
        </w:rPr>
        <w:t>节目编排经费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87.53</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38.00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13.42</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35.52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完成全年惠民演出100场次，充分发挥乌兰牧骑政策宣传、下基层开展惠民演出服务、公共服务艺术普及等工作，创作生产反应时代新气象、讴歌人民创造的文艺精品。不断满足人民向往美好生活的精神文化需求。</w:t>
      </w:r>
      <w:r>
        <w:rPr>
          <w:rFonts w:ascii="FangSong_GB2312" w:hAnsi="FangSong_GB2312" w:eastAsia="FangSong_GB2312" w:cs="FangSong_GB2312"/>
          <w:kern w:val="0"/>
          <w:sz w:val="32"/>
          <w:szCs w:val="32"/>
        </w:rPr>
        <w:t>发现的主要问题及原因：</w:t>
      </w:r>
      <w:r>
        <w:rPr>
          <w:rFonts w:hint="eastAsia" w:ascii="仿宋" w:hAnsi="仿宋" w:eastAsia="仿宋" w:cs="仿宋"/>
          <w:kern w:val="2"/>
          <w:sz w:val="31"/>
          <w:szCs w:val="31"/>
          <w:u w:val="none"/>
          <w:lang w:val="en-US" w:eastAsia="zh-CN"/>
        </w:rPr>
        <w:t>暂未发现重大问题</w:t>
      </w:r>
      <w:r>
        <w:rPr>
          <w:rFonts w:hint="eastAsia" w:ascii="仿宋" w:hAnsi="仿宋" w:eastAsia="仿宋" w:cs="仿宋"/>
          <w:kern w:val="2"/>
          <w:sz w:val="31"/>
          <w:szCs w:val="31"/>
          <w:u w:val="none"/>
          <w:lang w:eastAsia="zh-CN"/>
        </w:rPr>
        <w:t>。下一步改进措施：</w:t>
      </w:r>
      <w:r>
        <w:rPr>
          <w:rFonts w:hint="eastAsia" w:ascii="仿宋" w:hAnsi="仿宋" w:eastAsia="仿宋" w:cs="仿宋"/>
          <w:kern w:val="2"/>
          <w:sz w:val="31"/>
          <w:szCs w:val="31"/>
          <w:u w:val="none"/>
          <w:lang w:val="en-US" w:eastAsia="zh-CN"/>
        </w:rPr>
        <w:t>加强绩效监控，完善资金分配</w:t>
      </w:r>
      <w:r>
        <w:rPr>
          <w:rFonts w:ascii="FangSong_GB2312" w:hAnsi="FangSong_GB2312" w:eastAsia="FangSong_GB2312" w:cs="FangSong_GB2312"/>
          <w:kern w:val="0"/>
          <w:sz w:val="32"/>
          <w:szCs w:val="32"/>
        </w:rPr>
        <w:t>。</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44"/>
        <w:gridCol w:w="744"/>
        <w:gridCol w:w="745"/>
        <w:gridCol w:w="689"/>
        <w:gridCol w:w="689"/>
        <w:gridCol w:w="690"/>
        <w:gridCol w:w="690"/>
        <w:gridCol w:w="687"/>
        <w:gridCol w:w="694"/>
        <w:gridCol w:w="689"/>
        <w:gridCol w:w="714"/>
        <w:gridCol w:w="747"/>
      </w:tblGrid>
      <w:tr w14:paraId="64C7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vAlign w:val="center"/>
          </w:tcPr>
          <w:p w14:paraId="4880E01A">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bdr w:val="none" w:color="auto" w:sz="0" w:space="0"/>
                <w:lang w:val="en-US" w:eastAsia="zh-CN" w:bidi="ar"/>
              </w:rPr>
              <w:t>项目支出绩效自评表</w:t>
            </w:r>
            <w:r>
              <w:rPr>
                <w:rFonts w:hint="eastAsia" w:ascii="宋体" w:hAnsi="宋体" w:eastAsia="宋体" w:cs="宋体"/>
                <w:b/>
                <w:bCs/>
                <w:i w:val="0"/>
                <w:iCs w:val="0"/>
                <w:color w:val="000000"/>
                <w:kern w:val="0"/>
                <w:sz w:val="40"/>
                <w:szCs w:val="40"/>
                <w:u w:val="none"/>
                <w:bdr w:val="none" w:color="auto" w:sz="0" w:space="0"/>
                <w:lang w:val="en-US" w:eastAsia="zh-CN" w:bidi="ar"/>
              </w:rPr>
              <w:br w:type="textWrapping"/>
            </w:r>
            <w:r>
              <w:rPr>
                <w:rFonts w:hint="eastAsia" w:ascii="宋体" w:hAnsi="宋体" w:eastAsia="宋体" w:cs="宋体"/>
                <w:b/>
                <w:bCs/>
                <w:i w:val="0"/>
                <w:iCs w:val="0"/>
                <w:color w:val="000000"/>
                <w:kern w:val="0"/>
                <w:sz w:val="40"/>
                <w:szCs w:val="40"/>
                <w:u w:val="none"/>
                <w:bdr w:val="none" w:color="auto" w:sz="0" w:space="0"/>
                <w:lang w:val="en-US" w:eastAsia="zh-CN" w:bidi="ar"/>
              </w:rPr>
              <w:t>(2025年度）</w:t>
            </w:r>
          </w:p>
        </w:tc>
      </w:tr>
      <w:tr w14:paraId="27DF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vAlign w:val="center"/>
          </w:tcPr>
          <w:p w14:paraId="00C2953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vAlign w:val="center"/>
          </w:tcPr>
          <w:p w14:paraId="22483A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节目编排经费</w:t>
            </w:r>
          </w:p>
        </w:tc>
      </w:tr>
      <w:tr w14:paraId="583C0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vAlign w:val="center"/>
          </w:tcPr>
          <w:p w14:paraId="00BA01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vAlign w:val="center"/>
          </w:tcPr>
          <w:p w14:paraId="6DC7A4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78C3752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vAlign w:val="center"/>
          </w:tcPr>
          <w:p w14:paraId="3F5143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乌海乌兰牧骑</w:t>
            </w:r>
          </w:p>
        </w:tc>
      </w:tr>
      <w:tr w14:paraId="58F7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CF25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项目资金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625A890A">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2BC4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512F6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094846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3CDD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5E1B48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4F245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得分</w:t>
            </w:r>
          </w:p>
        </w:tc>
      </w:tr>
      <w:tr w14:paraId="13786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48D6C2D5">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5C98CB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410407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38</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20FF7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38</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29985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13.42</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480B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3F905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35.32</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6115B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3.53</w:t>
            </w:r>
          </w:p>
        </w:tc>
      </w:tr>
      <w:tr w14:paraId="3570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0036E229">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4D6DB0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ED7F7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38</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29BF9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38</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15377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13.42</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4E657BC">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62C58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35.32</w:t>
            </w: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5720A8FB">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6323A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72DC6C03">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1786D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CF599C0">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09A7E9B6">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4C125043">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742E4E4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67B6C780">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0B510A71">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1A122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38584FAF">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6F83A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DE5CD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vAlign w:val="center"/>
          </w:tcPr>
          <w:p w14:paraId="62EC3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vAlign w:val="center"/>
          </w:tcPr>
          <w:p w14:paraId="5E3F4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noWrap/>
            <w:vAlign w:val="center"/>
          </w:tcPr>
          <w:p w14:paraId="05C1DBB5">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vAlign w:val="center"/>
          </w:tcPr>
          <w:p w14:paraId="32272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noWrap/>
            <w:vAlign w:val="center"/>
          </w:tcPr>
          <w:p w14:paraId="7D1CBD3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bdr w:val="none" w:color="auto" w:sz="0" w:space="0"/>
                <w:lang w:val="en-US" w:eastAsia="zh-CN" w:bidi="ar"/>
              </w:rPr>
              <w:t>——</w:t>
            </w:r>
          </w:p>
        </w:tc>
      </w:tr>
      <w:tr w14:paraId="4FAD0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vAlign w:val="center"/>
          </w:tcPr>
          <w:p w14:paraId="7E7B0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vAlign w:val="center"/>
          </w:tcPr>
          <w:p w14:paraId="02BDC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vAlign w:val="center"/>
          </w:tcPr>
          <w:p w14:paraId="6C54F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实际完成情况</w:t>
            </w:r>
          </w:p>
        </w:tc>
      </w:tr>
      <w:tr w14:paraId="53237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vAlign w:val="center"/>
          </w:tcPr>
          <w:p w14:paraId="2D4ACA3D">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vAlign w:val="center"/>
          </w:tcPr>
          <w:p w14:paraId="1BAF5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加强政策宣传、惠民演出、公共服务艺术普及等工作，创作生产反应时代新气象、讴歌人民创作的文艺精品。                                                                                                     </w:t>
            </w:r>
          </w:p>
        </w:tc>
        <w:tc>
          <w:tcPr>
            <w:tcW w:w="2070" w:type="pct"/>
            <w:gridSpan w:val="5"/>
            <w:tcBorders>
              <w:top w:val="single" w:color="000000" w:sz="4" w:space="0"/>
              <w:left w:val="single" w:color="000000" w:sz="4" w:space="0"/>
              <w:bottom w:val="single" w:color="000000" w:sz="4" w:space="0"/>
              <w:right w:val="single" w:color="000000" w:sz="4" w:space="0"/>
            </w:tcBorders>
            <w:shd w:val="clear"/>
            <w:vAlign w:val="center"/>
          </w:tcPr>
          <w:p w14:paraId="2CC375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完成全年惠民演出100场次，充分发挥乌兰牧骑政策宣传、下基层开展惠民演出服务、公共服务艺术普及等工作，创作生产反应时代新气象、讴歌人民创造的文艺精品。不断满足人民向往美好生活的精神文化需求。</w:t>
            </w:r>
          </w:p>
        </w:tc>
      </w:tr>
      <w:tr w14:paraId="398B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vAlign w:val="center"/>
          </w:tcPr>
          <w:p w14:paraId="26CC3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09792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vAlign w:val="center"/>
          </w:tcPr>
          <w:p w14:paraId="5EF20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0EB0A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22DD1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96C6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68390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vAlign w:val="center"/>
          </w:tcPr>
          <w:p w14:paraId="38416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1D89C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37AB9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vAlign w:val="center"/>
          </w:tcPr>
          <w:p w14:paraId="2EE0D2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18AEA9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偏差原因分析及改进措施</w:t>
            </w:r>
          </w:p>
        </w:tc>
      </w:tr>
      <w:tr w14:paraId="0E8D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vAlign w:val="center"/>
          </w:tcPr>
          <w:p w14:paraId="07C99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vAlign w:val="center"/>
          </w:tcPr>
          <w:p w14:paraId="6E756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vAlign w:val="center"/>
          </w:tcPr>
          <w:p w14:paraId="40DD8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vAlign w:val="center"/>
          </w:tcPr>
          <w:p w14:paraId="191BE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编排各类惠民演出节目数量和改编文艺作品数量</w:t>
            </w:r>
          </w:p>
        </w:tc>
        <w:tc>
          <w:tcPr>
            <w:tcW w:w="404" w:type="pct"/>
            <w:tcBorders>
              <w:top w:val="single" w:color="000000" w:sz="4" w:space="0"/>
              <w:left w:val="single" w:color="000000" w:sz="4" w:space="0"/>
              <w:bottom w:val="nil"/>
              <w:right w:val="single" w:color="000000" w:sz="4" w:space="0"/>
            </w:tcBorders>
            <w:shd w:val="clear"/>
            <w:vAlign w:val="center"/>
          </w:tcPr>
          <w:p w14:paraId="03C46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57DB11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342C39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177EA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12633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场/件</w:t>
            </w:r>
          </w:p>
        </w:tc>
        <w:tc>
          <w:tcPr>
            <w:tcW w:w="404" w:type="pct"/>
            <w:tcBorders>
              <w:top w:val="single" w:color="000000" w:sz="4" w:space="0"/>
              <w:left w:val="single" w:color="000000" w:sz="4" w:space="0"/>
              <w:bottom w:val="nil"/>
              <w:right w:val="single" w:color="000000" w:sz="4" w:space="0"/>
            </w:tcBorders>
            <w:shd w:val="clear"/>
            <w:vAlign w:val="center"/>
          </w:tcPr>
          <w:p w14:paraId="14217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18" w:type="pct"/>
            <w:tcBorders>
              <w:top w:val="single" w:color="000000" w:sz="4" w:space="0"/>
              <w:left w:val="single" w:color="000000" w:sz="4" w:space="0"/>
              <w:bottom w:val="nil"/>
              <w:right w:val="single" w:color="000000" w:sz="4" w:space="0"/>
            </w:tcBorders>
            <w:shd w:val="clear"/>
            <w:vAlign w:val="center"/>
          </w:tcPr>
          <w:p w14:paraId="1D265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39" w:type="pct"/>
            <w:tcBorders>
              <w:top w:val="single" w:color="000000" w:sz="4" w:space="0"/>
              <w:left w:val="single" w:color="000000" w:sz="4" w:space="0"/>
              <w:bottom w:val="nil"/>
              <w:right w:val="single" w:color="000000" w:sz="4" w:space="0"/>
            </w:tcBorders>
            <w:shd w:val="clear"/>
            <w:vAlign w:val="center"/>
          </w:tcPr>
          <w:p w14:paraId="71E2E3A5">
            <w:pPr>
              <w:jc w:val="center"/>
              <w:rPr>
                <w:rFonts w:hint="eastAsia" w:ascii="宋体" w:hAnsi="宋体" w:eastAsia="宋体" w:cs="宋体"/>
                <w:i w:val="0"/>
                <w:iCs w:val="0"/>
                <w:color w:val="000000"/>
                <w:sz w:val="18"/>
                <w:szCs w:val="18"/>
                <w:u w:val="none"/>
              </w:rPr>
            </w:pPr>
          </w:p>
        </w:tc>
      </w:tr>
      <w:tr w14:paraId="3F3C1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1C18538D">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7EFD2B3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57C008D5">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4B11B9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惠民演出人数</w:t>
            </w:r>
          </w:p>
        </w:tc>
        <w:tc>
          <w:tcPr>
            <w:tcW w:w="404" w:type="pct"/>
            <w:tcBorders>
              <w:top w:val="single" w:color="000000" w:sz="4" w:space="0"/>
              <w:left w:val="single" w:color="000000" w:sz="4" w:space="0"/>
              <w:bottom w:val="nil"/>
              <w:right w:val="single" w:color="000000" w:sz="4" w:space="0"/>
            </w:tcBorders>
            <w:shd w:val="clear"/>
            <w:vAlign w:val="center"/>
          </w:tcPr>
          <w:p w14:paraId="4530B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5A130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2D30F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403" w:type="pct"/>
            <w:tcBorders>
              <w:top w:val="single" w:color="000000" w:sz="4" w:space="0"/>
              <w:left w:val="single" w:color="000000" w:sz="4" w:space="0"/>
              <w:bottom w:val="nil"/>
              <w:right w:val="single" w:color="000000" w:sz="4" w:space="0"/>
            </w:tcBorders>
            <w:shd w:val="clear"/>
            <w:vAlign w:val="center"/>
          </w:tcPr>
          <w:p w14:paraId="39DA23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404" w:type="pct"/>
            <w:tcBorders>
              <w:top w:val="single" w:color="000000" w:sz="4" w:space="0"/>
              <w:left w:val="single" w:color="000000" w:sz="4" w:space="0"/>
              <w:bottom w:val="nil"/>
              <w:right w:val="single" w:color="000000" w:sz="4" w:space="0"/>
            </w:tcBorders>
            <w:shd w:val="clear"/>
            <w:vAlign w:val="center"/>
          </w:tcPr>
          <w:p w14:paraId="053AF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w:t>
            </w:r>
          </w:p>
        </w:tc>
        <w:tc>
          <w:tcPr>
            <w:tcW w:w="404" w:type="pct"/>
            <w:tcBorders>
              <w:top w:val="single" w:color="000000" w:sz="4" w:space="0"/>
              <w:left w:val="single" w:color="000000" w:sz="4" w:space="0"/>
              <w:bottom w:val="nil"/>
              <w:right w:val="single" w:color="000000" w:sz="4" w:space="0"/>
            </w:tcBorders>
            <w:shd w:val="clear"/>
            <w:vAlign w:val="center"/>
          </w:tcPr>
          <w:p w14:paraId="0591B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18" w:type="pct"/>
            <w:tcBorders>
              <w:top w:val="single" w:color="000000" w:sz="4" w:space="0"/>
              <w:left w:val="single" w:color="000000" w:sz="4" w:space="0"/>
              <w:bottom w:val="nil"/>
              <w:right w:val="single" w:color="000000" w:sz="4" w:space="0"/>
            </w:tcBorders>
            <w:shd w:val="clear"/>
            <w:vAlign w:val="center"/>
          </w:tcPr>
          <w:p w14:paraId="34C89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39" w:type="pct"/>
            <w:tcBorders>
              <w:top w:val="single" w:color="000000" w:sz="4" w:space="0"/>
              <w:left w:val="single" w:color="000000" w:sz="4" w:space="0"/>
              <w:bottom w:val="nil"/>
              <w:right w:val="single" w:color="000000" w:sz="4" w:space="0"/>
            </w:tcBorders>
            <w:shd w:val="clear"/>
            <w:vAlign w:val="center"/>
          </w:tcPr>
          <w:p w14:paraId="40E99BCD">
            <w:pPr>
              <w:jc w:val="center"/>
              <w:rPr>
                <w:rFonts w:hint="eastAsia" w:ascii="宋体" w:hAnsi="宋体" w:eastAsia="宋体" w:cs="宋体"/>
                <w:i w:val="0"/>
                <w:iCs w:val="0"/>
                <w:color w:val="000000"/>
                <w:sz w:val="18"/>
                <w:szCs w:val="18"/>
                <w:u w:val="none"/>
              </w:rPr>
            </w:pPr>
          </w:p>
        </w:tc>
      </w:tr>
      <w:tr w14:paraId="23666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091D636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49A154AF">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39C79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vAlign w:val="center"/>
          </w:tcPr>
          <w:p w14:paraId="030EB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演出场次</w:t>
            </w:r>
          </w:p>
        </w:tc>
        <w:tc>
          <w:tcPr>
            <w:tcW w:w="404" w:type="pct"/>
            <w:tcBorders>
              <w:top w:val="single" w:color="000000" w:sz="4" w:space="0"/>
              <w:left w:val="single" w:color="000000" w:sz="4" w:space="0"/>
              <w:bottom w:val="nil"/>
              <w:right w:val="single" w:color="000000" w:sz="4" w:space="0"/>
            </w:tcBorders>
            <w:shd w:val="clear"/>
            <w:vAlign w:val="center"/>
          </w:tcPr>
          <w:p w14:paraId="08507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7986D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232917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3" w:type="pct"/>
            <w:tcBorders>
              <w:top w:val="single" w:color="000000" w:sz="4" w:space="0"/>
              <w:left w:val="single" w:color="000000" w:sz="4" w:space="0"/>
              <w:bottom w:val="nil"/>
              <w:right w:val="single" w:color="000000" w:sz="4" w:space="0"/>
            </w:tcBorders>
            <w:shd w:val="clear"/>
            <w:vAlign w:val="center"/>
          </w:tcPr>
          <w:p w14:paraId="390ACE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04" w:type="pct"/>
            <w:tcBorders>
              <w:top w:val="single" w:color="000000" w:sz="4" w:space="0"/>
              <w:left w:val="single" w:color="000000" w:sz="4" w:space="0"/>
              <w:bottom w:val="nil"/>
              <w:right w:val="single" w:color="000000" w:sz="4" w:space="0"/>
            </w:tcBorders>
            <w:shd w:val="clear"/>
            <w:vAlign w:val="center"/>
          </w:tcPr>
          <w:p w14:paraId="7FD98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场</w:t>
            </w:r>
          </w:p>
        </w:tc>
        <w:tc>
          <w:tcPr>
            <w:tcW w:w="404" w:type="pct"/>
            <w:tcBorders>
              <w:top w:val="single" w:color="000000" w:sz="4" w:space="0"/>
              <w:left w:val="single" w:color="000000" w:sz="4" w:space="0"/>
              <w:bottom w:val="nil"/>
              <w:right w:val="single" w:color="000000" w:sz="4" w:space="0"/>
            </w:tcBorders>
            <w:shd w:val="clear"/>
            <w:vAlign w:val="center"/>
          </w:tcPr>
          <w:p w14:paraId="45804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18" w:type="pct"/>
            <w:tcBorders>
              <w:top w:val="single" w:color="000000" w:sz="4" w:space="0"/>
              <w:left w:val="single" w:color="000000" w:sz="4" w:space="0"/>
              <w:bottom w:val="nil"/>
              <w:right w:val="single" w:color="000000" w:sz="4" w:space="0"/>
            </w:tcBorders>
            <w:shd w:val="clear"/>
            <w:vAlign w:val="center"/>
          </w:tcPr>
          <w:p w14:paraId="1AF39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439" w:type="pct"/>
            <w:tcBorders>
              <w:top w:val="single" w:color="000000" w:sz="4" w:space="0"/>
              <w:left w:val="single" w:color="000000" w:sz="4" w:space="0"/>
              <w:bottom w:val="nil"/>
              <w:right w:val="single" w:color="000000" w:sz="4" w:space="0"/>
            </w:tcBorders>
            <w:shd w:val="clear"/>
            <w:vAlign w:val="center"/>
          </w:tcPr>
          <w:p w14:paraId="48E0AFE2">
            <w:pPr>
              <w:jc w:val="center"/>
              <w:rPr>
                <w:rFonts w:hint="eastAsia" w:ascii="宋体" w:hAnsi="宋体" w:eastAsia="宋体" w:cs="宋体"/>
                <w:i w:val="0"/>
                <w:iCs w:val="0"/>
                <w:color w:val="000000"/>
                <w:sz w:val="18"/>
                <w:szCs w:val="18"/>
                <w:u w:val="none"/>
              </w:rPr>
            </w:pPr>
          </w:p>
        </w:tc>
      </w:tr>
      <w:tr w14:paraId="49F16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9203C5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4CF3520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6C4F900B">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78C92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演员出勤率</w:t>
            </w:r>
          </w:p>
        </w:tc>
        <w:tc>
          <w:tcPr>
            <w:tcW w:w="404" w:type="pct"/>
            <w:tcBorders>
              <w:top w:val="single" w:color="000000" w:sz="4" w:space="0"/>
              <w:left w:val="single" w:color="000000" w:sz="4" w:space="0"/>
              <w:bottom w:val="nil"/>
              <w:right w:val="single" w:color="000000" w:sz="4" w:space="0"/>
            </w:tcBorders>
            <w:shd w:val="clear"/>
            <w:vAlign w:val="center"/>
          </w:tcPr>
          <w:p w14:paraId="1DC98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17461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65373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1A786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51283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0CD15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18" w:type="pct"/>
            <w:tcBorders>
              <w:top w:val="single" w:color="000000" w:sz="4" w:space="0"/>
              <w:left w:val="single" w:color="000000" w:sz="4" w:space="0"/>
              <w:bottom w:val="nil"/>
              <w:right w:val="single" w:color="000000" w:sz="4" w:space="0"/>
            </w:tcBorders>
            <w:shd w:val="clear"/>
            <w:vAlign w:val="center"/>
          </w:tcPr>
          <w:p w14:paraId="5F218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439" w:type="pct"/>
            <w:tcBorders>
              <w:top w:val="single" w:color="000000" w:sz="4" w:space="0"/>
              <w:left w:val="single" w:color="000000" w:sz="4" w:space="0"/>
              <w:bottom w:val="nil"/>
              <w:right w:val="single" w:color="000000" w:sz="4" w:space="0"/>
            </w:tcBorders>
            <w:shd w:val="clear"/>
            <w:vAlign w:val="center"/>
          </w:tcPr>
          <w:p w14:paraId="6C0DB3BA">
            <w:pPr>
              <w:jc w:val="center"/>
              <w:rPr>
                <w:rFonts w:hint="eastAsia" w:ascii="宋体" w:hAnsi="宋体" w:eastAsia="宋体" w:cs="宋体"/>
                <w:i w:val="0"/>
                <w:iCs w:val="0"/>
                <w:color w:val="000000"/>
                <w:sz w:val="18"/>
                <w:szCs w:val="18"/>
                <w:u w:val="none"/>
              </w:rPr>
            </w:pPr>
          </w:p>
        </w:tc>
      </w:tr>
      <w:tr w14:paraId="51CDE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53084F1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0DF28A0A">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7CFEED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vAlign w:val="center"/>
          </w:tcPr>
          <w:p w14:paraId="2AC6E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截至年末演出完成率</w:t>
            </w:r>
          </w:p>
        </w:tc>
        <w:tc>
          <w:tcPr>
            <w:tcW w:w="404" w:type="pct"/>
            <w:tcBorders>
              <w:top w:val="single" w:color="000000" w:sz="4" w:space="0"/>
              <w:left w:val="single" w:color="000000" w:sz="4" w:space="0"/>
              <w:bottom w:val="nil"/>
              <w:right w:val="single" w:color="000000" w:sz="4" w:space="0"/>
            </w:tcBorders>
            <w:shd w:val="clear"/>
            <w:vAlign w:val="center"/>
          </w:tcPr>
          <w:p w14:paraId="488A1E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0D01D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67FB1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3CE9A4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4E84E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7DA281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02B2E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66064F67">
            <w:pPr>
              <w:jc w:val="center"/>
              <w:rPr>
                <w:rFonts w:hint="eastAsia" w:ascii="宋体" w:hAnsi="宋体" w:eastAsia="宋体" w:cs="宋体"/>
                <w:i w:val="0"/>
                <w:iCs w:val="0"/>
                <w:color w:val="000000"/>
                <w:sz w:val="18"/>
                <w:szCs w:val="18"/>
                <w:u w:val="none"/>
              </w:rPr>
            </w:pPr>
          </w:p>
        </w:tc>
      </w:tr>
      <w:tr w14:paraId="17EC4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FBB811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22A085A3">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1BE988CA">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1F78A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截至年末编排各类惠民演出节目数量和改编文艺作品数量</w:t>
            </w:r>
          </w:p>
        </w:tc>
        <w:tc>
          <w:tcPr>
            <w:tcW w:w="404" w:type="pct"/>
            <w:tcBorders>
              <w:top w:val="single" w:color="000000" w:sz="4" w:space="0"/>
              <w:left w:val="single" w:color="000000" w:sz="4" w:space="0"/>
              <w:bottom w:val="nil"/>
              <w:right w:val="single" w:color="000000" w:sz="4" w:space="0"/>
            </w:tcBorders>
            <w:shd w:val="clear"/>
            <w:vAlign w:val="center"/>
          </w:tcPr>
          <w:p w14:paraId="39526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6E17A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76C1F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7101E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2CD935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场/件</w:t>
            </w:r>
          </w:p>
        </w:tc>
        <w:tc>
          <w:tcPr>
            <w:tcW w:w="404" w:type="pct"/>
            <w:tcBorders>
              <w:top w:val="single" w:color="000000" w:sz="4" w:space="0"/>
              <w:left w:val="single" w:color="000000" w:sz="4" w:space="0"/>
              <w:bottom w:val="nil"/>
              <w:right w:val="single" w:color="000000" w:sz="4" w:space="0"/>
            </w:tcBorders>
            <w:shd w:val="clear"/>
            <w:vAlign w:val="center"/>
          </w:tcPr>
          <w:p w14:paraId="76384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07BDC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39" w:type="pct"/>
            <w:tcBorders>
              <w:top w:val="single" w:color="000000" w:sz="4" w:space="0"/>
              <w:left w:val="single" w:color="000000" w:sz="4" w:space="0"/>
              <w:bottom w:val="nil"/>
              <w:right w:val="single" w:color="000000" w:sz="4" w:space="0"/>
            </w:tcBorders>
            <w:shd w:val="clear"/>
            <w:vAlign w:val="center"/>
          </w:tcPr>
          <w:p w14:paraId="100D01FE">
            <w:pPr>
              <w:jc w:val="center"/>
              <w:rPr>
                <w:rFonts w:hint="eastAsia" w:ascii="宋体" w:hAnsi="宋体" w:eastAsia="宋体" w:cs="宋体"/>
                <w:i w:val="0"/>
                <w:iCs w:val="0"/>
                <w:color w:val="000000"/>
                <w:sz w:val="18"/>
                <w:szCs w:val="18"/>
                <w:u w:val="none"/>
              </w:rPr>
            </w:pPr>
          </w:p>
        </w:tc>
      </w:tr>
      <w:tr w14:paraId="1E96B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3E2CCA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3E6A5B69">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6CD05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vAlign w:val="center"/>
          </w:tcPr>
          <w:p w14:paraId="7F051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演出租赁费</w:t>
            </w:r>
          </w:p>
        </w:tc>
        <w:tc>
          <w:tcPr>
            <w:tcW w:w="404" w:type="pct"/>
            <w:tcBorders>
              <w:top w:val="single" w:color="000000" w:sz="4" w:space="0"/>
              <w:left w:val="single" w:color="000000" w:sz="4" w:space="0"/>
              <w:bottom w:val="nil"/>
              <w:right w:val="single" w:color="000000" w:sz="4" w:space="0"/>
            </w:tcBorders>
            <w:shd w:val="clear"/>
            <w:vAlign w:val="center"/>
          </w:tcPr>
          <w:p w14:paraId="00A7E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反向</w:t>
            </w:r>
          </w:p>
        </w:tc>
        <w:tc>
          <w:tcPr>
            <w:tcW w:w="404" w:type="pct"/>
            <w:tcBorders>
              <w:top w:val="single" w:color="000000" w:sz="4" w:space="0"/>
              <w:left w:val="single" w:color="000000" w:sz="4" w:space="0"/>
              <w:bottom w:val="nil"/>
              <w:right w:val="single" w:color="000000" w:sz="4" w:space="0"/>
            </w:tcBorders>
            <w:shd w:val="clear"/>
            <w:vAlign w:val="center"/>
          </w:tcPr>
          <w:p w14:paraId="38949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vAlign w:val="center"/>
          </w:tcPr>
          <w:p w14:paraId="1E1E1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403" w:type="pct"/>
            <w:tcBorders>
              <w:top w:val="single" w:color="000000" w:sz="4" w:space="0"/>
              <w:left w:val="single" w:color="000000" w:sz="4" w:space="0"/>
              <w:bottom w:val="nil"/>
              <w:right w:val="single" w:color="000000" w:sz="4" w:space="0"/>
            </w:tcBorders>
            <w:shd w:val="clear"/>
            <w:vAlign w:val="center"/>
          </w:tcPr>
          <w:p w14:paraId="7B6A2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404" w:type="pct"/>
            <w:tcBorders>
              <w:top w:val="single" w:color="000000" w:sz="4" w:space="0"/>
              <w:left w:val="single" w:color="000000" w:sz="4" w:space="0"/>
              <w:bottom w:val="nil"/>
              <w:right w:val="single" w:color="000000" w:sz="4" w:space="0"/>
            </w:tcBorders>
            <w:shd w:val="clear"/>
            <w:vAlign w:val="center"/>
          </w:tcPr>
          <w:p w14:paraId="478E5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万元</w:t>
            </w:r>
          </w:p>
        </w:tc>
        <w:tc>
          <w:tcPr>
            <w:tcW w:w="404" w:type="pct"/>
            <w:tcBorders>
              <w:top w:val="single" w:color="000000" w:sz="4" w:space="0"/>
              <w:left w:val="single" w:color="000000" w:sz="4" w:space="0"/>
              <w:bottom w:val="nil"/>
              <w:right w:val="single" w:color="000000" w:sz="4" w:space="0"/>
            </w:tcBorders>
            <w:shd w:val="clear"/>
            <w:vAlign w:val="center"/>
          </w:tcPr>
          <w:p w14:paraId="6449C8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2B2F3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439" w:type="pct"/>
            <w:tcBorders>
              <w:top w:val="single" w:color="000000" w:sz="4" w:space="0"/>
              <w:left w:val="single" w:color="000000" w:sz="4" w:space="0"/>
              <w:bottom w:val="nil"/>
              <w:right w:val="single" w:color="000000" w:sz="4" w:space="0"/>
            </w:tcBorders>
            <w:shd w:val="clear"/>
            <w:vAlign w:val="center"/>
          </w:tcPr>
          <w:p w14:paraId="04820E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有未完结工作，支付延迟至下一年度</w:t>
            </w:r>
          </w:p>
        </w:tc>
      </w:tr>
      <w:tr w14:paraId="0F4B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42E0CCF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5E2E39B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10DE8284">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vAlign w:val="center"/>
          </w:tcPr>
          <w:p w14:paraId="0C58C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演出购买演出服等专用材料</w:t>
            </w:r>
          </w:p>
        </w:tc>
        <w:tc>
          <w:tcPr>
            <w:tcW w:w="404" w:type="pct"/>
            <w:tcBorders>
              <w:top w:val="single" w:color="000000" w:sz="4" w:space="0"/>
              <w:left w:val="single" w:color="000000" w:sz="4" w:space="0"/>
              <w:bottom w:val="nil"/>
              <w:right w:val="single" w:color="000000" w:sz="4" w:space="0"/>
            </w:tcBorders>
            <w:shd w:val="clear"/>
            <w:vAlign w:val="center"/>
          </w:tcPr>
          <w:p w14:paraId="48257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反向</w:t>
            </w:r>
          </w:p>
        </w:tc>
        <w:tc>
          <w:tcPr>
            <w:tcW w:w="404" w:type="pct"/>
            <w:tcBorders>
              <w:top w:val="single" w:color="000000" w:sz="4" w:space="0"/>
              <w:left w:val="single" w:color="000000" w:sz="4" w:space="0"/>
              <w:bottom w:val="nil"/>
              <w:right w:val="single" w:color="000000" w:sz="4" w:space="0"/>
            </w:tcBorders>
            <w:shd w:val="clear"/>
            <w:vAlign w:val="center"/>
          </w:tcPr>
          <w:p w14:paraId="0691F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vAlign w:val="center"/>
          </w:tcPr>
          <w:p w14:paraId="7D275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403" w:type="pct"/>
            <w:tcBorders>
              <w:top w:val="single" w:color="000000" w:sz="4" w:space="0"/>
              <w:left w:val="single" w:color="000000" w:sz="4" w:space="0"/>
              <w:bottom w:val="nil"/>
              <w:right w:val="single" w:color="000000" w:sz="4" w:space="0"/>
            </w:tcBorders>
            <w:shd w:val="clear"/>
            <w:vAlign w:val="center"/>
          </w:tcPr>
          <w:p w14:paraId="49E64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04" w:type="pct"/>
            <w:tcBorders>
              <w:top w:val="single" w:color="000000" w:sz="4" w:space="0"/>
              <w:left w:val="single" w:color="000000" w:sz="4" w:space="0"/>
              <w:bottom w:val="nil"/>
              <w:right w:val="single" w:color="000000" w:sz="4" w:space="0"/>
            </w:tcBorders>
            <w:shd w:val="clear"/>
            <w:vAlign w:val="center"/>
          </w:tcPr>
          <w:p w14:paraId="512B1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万元</w:t>
            </w:r>
          </w:p>
        </w:tc>
        <w:tc>
          <w:tcPr>
            <w:tcW w:w="404" w:type="pct"/>
            <w:tcBorders>
              <w:top w:val="single" w:color="000000" w:sz="4" w:space="0"/>
              <w:left w:val="single" w:color="000000" w:sz="4" w:space="0"/>
              <w:bottom w:val="nil"/>
              <w:right w:val="single" w:color="000000" w:sz="4" w:space="0"/>
            </w:tcBorders>
            <w:shd w:val="clear"/>
            <w:vAlign w:val="center"/>
          </w:tcPr>
          <w:p w14:paraId="24E29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418" w:type="pct"/>
            <w:tcBorders>
              <w:top w:val="single" w:color="000000" w:sz="4" w:space="0"/>
              <w:left w:val="single" w:color="000000" w:sz="4" w:space="0"/>
              <w:bottom w:val="nil"/>
              <w:right w:val="single" w:color="000000" w:sz="4" w:space="0"/>
            </w:tcBorders>
            <w:shd w:val="clear"/>
            <w:vAlign w:val="center"/>
          </w:tcPr>
          <w:p w14:paraId="76A87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439" w:type="pct"/>
            <w:tcBorders>
              <w:top w:val="single" w:color="000000" w:sz="4" w:space="0"/>
              <w:left w:val="single" w:color="000000" w:sz="4" w:space="0"/>
              <w:bottom w:val="nil"/>
              <w:right w:val="single" w:color="000000" w:sz="4" w:space="0"/>
            </w:tcBorders>
            <w:shd w:val="clear"/>
            <w:vAlign w:val="center"/>
          </w:tcPr>
          <w:p w14:paraId="5AF477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有未完结工作，支付延迟至下一年度</w:t>
            </w:r>
          </w:p>
        </w:tc>
      </w:tr>
      <w:tr w14:paraId="3E63D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50B1F567">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vAlign w:val="center"/>
          </w:tcPr>
          <w:p w14:paraId="5FA09B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vAlign w:val="center"/>
          </w:tcPr>
          <w:p w14:paraId="33A9D5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vAlign w:val="center"/>
          </w:tcPr>
          <w:p w14:paraId="5B990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提高文化需求以及提高社会文明程度</w:t>
            </w:r>
          </w:p>
        </w:tc>
        <w:tc>
          <w:tcPr>
            <w:tcW w:w="404" w:type="pct"/>
            <w:tcBorders>
              <w:top w:val="single" w:color="000000" w:sz="4" w:space="0"/>
              <w:left w:val="single" w:color="000000" w:sz="4" w:space="0"/>
              <w:bottom w:val="nil"/>
              <w:right w:val="single" w:color="000000" w:sz="4" w:space="0"/>
            </w:tcBorders>
            <w:shd w:val="clear"/>
            <w:vAlign w:val="center"/>
          </w:tcPr>
          <w:p w14:paraId="598EB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6DC83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596846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058CAA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54CDB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68926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18" w:type="pct"/>
            <w:tcBorders>
              <w:top w:val="single" w:color="000000" w:sz="4" w:space="0"/>
              <w:left w:val="single" w:color="000000" w:sz="4" w:space="0"/>
              <w:bottom w:val="nil"/>
              <w:right w:val="single" w:color="000000" w:sz="4" w:space="0"/>
            </w:tcBorders>
            <w:shd w:val="clear"/>
            <w:vAlign w:val="center"/>
          </w:tcPr>
          <w:p w14:paraId="1B078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39" w:type="pct"/>
            <w:tcBorders>
              <w:top w:val="single" w:color="000000" w:sz="4" w:space="0"/>
              <w:left w:val="single" w:color="000000" w:sz="4" w:space="0"/>
              <w:bottom w:val="nil"/>
              <w:right w:val="single" w:color="000000" w:sz="4" w:space="0"/>
            </w:tcBorders>
            <w:shd w:val="clear"/>
            <w:vAlign w:val="center"/>
          </w:tcPr>
          <w:p w14:paraId="25D98A4D">
            <w:pPr>
              <w:jc w:val="center"/>
              <w:rPr>
                <w:rFonts w:hint="eastAsia" w:ascii="宋体" w:hAnsi="宋体" w:eastAsia="宋体" w:cs="宋体"/>
                <w:i w:val="0"/>
                <w:iCs w:val="0"/>
                <w:color w:val="000000"/>
                <w:sz w:val="18"/>
                <w:szCs w:val="18"/>
                <w:u w:val="none"/>
              </w:rPr>
            </w:pPr>
          </w:p>
        </w:tc>
      </w:tr>
      <w:tr w14:paraId="7C0D7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32E4D91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vAlign w:val="center"/>
          </w:tcPr>
          <w:p w14:paraId="270FE6AA">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vAlign w:val="center"/>
          </w:tcPr>
          <w:p w14:paraId="461F1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vAlign w:val="center"/>
          </w:tcPr>
          <w:p w14:paraId="02AE5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不断满足人民向往美好生活的精神文化需求</w:t>
            </w:r>
          </w:p>
        </w:tc>
        <w:tc>
          <w:tcPr>
            <w:tcW w:w="404" w:type="pct"/>
            <w:tcBorders>
              <w:top w:val="single" w:color="000000" w:sz="4" w:space="0"/>
              <w:left w:val="single" w:color="000000" w:sz="4" w:space="0"/>
              <w:bottom w:val="nil"/>
              <w:right w:val="single" w:color="000000" w:sz="4" w:space="0"/>
            </w:tcBorders>
            <w:shd w:val="clear"/>
            <w:vAlign w:val="center"/>
          </w:tcPr>
          <w:p w14:paraId="28F91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58D7D8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05355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76107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67DA0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2B08B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18" w:type="pct"/>
            <w:tcBorders>
              <w:top w:val="single" w:color="000000" w:sz="4" w:space="0"/>
              <w:left w:val="single" w:color="000000" w:sz="4" w:space="0"/>
              <w:bottom w:val="nil"/>
              <w:right w:val="single" w:color="000000" w:sz="4" w:space="0"/>
            </w:tcBorders>
            <w:shd w:val="clear"/>
            <w:vAlign w:val="center"/>
          </w:tcPr>
          <w:p w14:paraId="54972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439" w:type="pct"/>
            <w:tcBorders>
              <w:top w:val="single" w:color="000000" w:sz="4" w:space="0"/>
              <w:left w:val="single" w:color="000000" w:sz="4" w:space="0"/>
              <w:bottom w:val="nil"/>
              <w:right w:val="single" w:color="000000" w:sz="4" w:space="0"/>
            </w:tcBorders>
            <w:shd w:val="clear"/>
            <w:vAlign w:val="center"/>
          </w:tcPr>
          <w:p w14:paraId="29A6368D">
            <w:pPr>
              <w:jc w:val="center"/>
              <w:rPr>
                <w:rFonts w:hint="eastAsia" w:ascii="宋体" w:hAnsi="宋体" w:eastAsia="宋体" w:cs="宋体"/>
                <w:i w:val="0"/>
                <w:iCs w:val="0"/>
                <w:color w:val="000000"/>
                <w:sz w:val="18"/>
                <w:szCs w:val="18"/>
                <w:u w:val="none"/>
              </w:rPr>
            </w:pPr>
          </w:p>
        </w:tc>
      </w:tr>
      <w:tr w14:paraId="3B1D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vAlign w:val="center"/>
          </w:tcPr>
          <w:p w14:paraId="7886846D">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vAlign w:val="center"/>
          </w:tcPr>
          <w:p w14:paraId="52241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vAlign w:val="center"/>
          </w:tcPr>
          <w:p w14:paraId="18E6D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vAlign w:val="center"/>
          </w:tcPr>
          <w:p w14:paraId="034F7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群众反响以及满意程度</w:t>
            </w:r>
          </w:p>
        </w:tc>
        <w:tc>
          <w:tcPr>
            <w:tcW w:w="404" w:type="pct"/>
            <w:tcBorders>
              <w:top w:val="single" w:color="000000" w:sz="4" w:space="0"/>
              <w:left w:val="single" w:color="000000" w:sz="4" w:space="0"/>
              <w:bottom w:val="nil"/>
              <w:right w:val="single" w:color="000000" w:sz="4" w:space="0"/>
            </w:tcBorders>
            <w:shd w:val="clear"/>
            <w:vAlign w:val="center"/>
          </w:tcPr>
          <w:p w14:paraId="44A89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正向</w:t>
            </w:r>
          </w:p>
        </w:tc>
        <w:tc>
          <w:tcPr>
            <w:tcW w:w="404" w:type="pct"/>
            <w:tcBorders>
              <w:top w:val="single" w:color="000000" w:sz="4" w:space="0"/>
              <w:left w:val="single" w:color="000000" w:sz="4" w:space="0"/>
              <w:bottom w:val="nil"/>
              <w:right w:val="single" w:color="000000" w:sz="4" w:space="0"/>
            </w:tcBorders>
            <w:shd w:val="clear"/>
            <w:vAlign w:val="center"/>
          </w:tcPr>
          <w:p w14:paraId="7572F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大于</w:t>
            </w:r>
          </w:p>
        </w:tc>
        <w:tc>
          <w:tcPr>
            <w:tcW w:w="404" w:type="pct"/>
            <w:tcBorders>
              <w:top w:val="single" w:color="000000" w:sz="4" w:space="0"/>
              <w:left w:val="single" w:color="000000" w:sz="4" w:space="0"/>
              <w:bottom w:val="nil"/>
              <w:right w:val="single" w:color="000000" w:sz="4" w:space="0"/>
            </w:tcBorders>
            <w:shd w:val="clear"/>
            <w:vAlign w:val="center"/>
          </w:tcPr>
          <w:p w14:paraId="0237E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3" w:type="pct"/>
            <w:tcBorders>
              <w:top w:val="single" w:color="000000" w:sz="4" w:space="0"/>
              <w:left w:val="single" w:color="000000" w:sz="4" w:space="0"/>
              <w:bottom w:val="nil"/>
              <w:right w:val="single" w:color="000000" w:sz="4" w:space="0"/>
            </w:tcBorders>
            <w:shd w:val="clear"/>
            <w:vAlign w:val="center"/>
          </w:tcPr>
          <w:p w14:paraId="2286C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98</w:t>
            </w:r>
          </w:p>
        </w:tc>
        <w:tc>
          <w:tcPr>
            <w:tcW w:w="404" w:type="pct"/>
            <w:tcBorders>
              <w:top w:val="single" w:color="000000" w:sz="4" w:space="0"/>
              <w:left w:val="single" w:color="000000" w:sz="4" w:space="0"/>
              <w:bottom w:val="nil"/>
              <w:right w:val="single" w:color="000000" w:sz="4" w:space="0"/>
            </w:tcBorders>
            <w:shd w:val="clear"/>
            <w:vAlign w:val="center"/>
          </w:tcPr>
          <w:p w14:paraId="25A61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404" w:type="pct"/>
            <w:tcBorders>
              <w:top w:val="single" w:color="000000" w:sz="4" w:space="0"/>
              <w:left w:val="single" w:color="000000" w:sz="4" w:space="0"/>
              <w:bottom w:val="nil"/>
              <w:right w:val="single" w:color="000000" w:sz="4" w:space="0"/>
            </w:tcBorders>
            <w:shd w:val="clear"/>
            <w:vAlign w:val="center"/>
          </w:tcPr>
          <w:p w14:paraId="6E9B1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418" w:type="pct"/>
            <w:tcBorders>
              <w:top w:val="single" w:color="000000" w:sz="4" w:space="0"/>
              <w:left w:val="single" w:color="000000" w:sz="4" w:space="0"/>
              <w:bottom w:val="nil"/>
              <w:right w:val="single" w:color="000000" w:sz="4" w:space="0"/>
            </w:tcBorders>
            <w:shd w:val="clear"/>
            <w:vAlign w:val="center"/>
          </w:tcPr>
          <w:p w14:paraId="0A4D4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439" w:type="pct"/>
            <w:tcBorders>
              <w:top w:val="single" w:color="000000" w:sz="4" w:space="0"/>
              <w:left w:val="single" w:color="000000" w:sz="4" w:space="0"/>
              <w:bottom w:val="nil"/>
              <w:right w:val="single" w:color="000000" w:sz="4" w:space="0"/>
            </w:tcBorders>
            <w:shd w:val="clear"/>
            <w:vAlign w:val="center"/>
          </w:tcPr>
          <w:p w14:paraId="5AC7356B">
            <w:pPr>
              <w:jc w:val="center"/>
              <w:rPr>
                <w:rFonts w:hint="eastAsia" w:ascii="宋体" w:hAnsi="宋体" w:eastAsia="宋体" w:cs="宋体"/>
                <w:i w:val="0"/>
                <w:iCs w:val="0"/>
                <w:color w:val="000000"/>
                <w:sz w:val="18"/>
                <w:szCs w:val="18"/>
                <w:u w:val="none"/>
              </w:rPr>
            </w:pPr>
          </w:p>
        </w:tc>
      </w:tr>
      <w:tr w14:paraId="672F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vAlign w:val="center"/>
          </w:tcPr>
          <w:p w14:paraId="76435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vAlign w:val="center"/>
          </w:tcPr>
          <w:p w14:paraId="52D24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vAlign w:val="center"/>
          </w:tcPr>
          <w:p w14:paraId="7B816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87.53</w:t>
            </w:r>
          </w:p>
        </w:tc>
        <w:tc>
          <w:tcPr>
            <w:tcW w:w="439" w:type="pct"/>
            <w:tcBorders>
              <w:top w:val="single" w:color="000000" w:sz="4" w:space="0"/>
              <w:left w:val="single" w:color="000000" w:sz="4" w:space="0"/>
              <w:bottom w:val="single" w:color="000000" w:sz="4" w:space="0"/>
              <w:right w:val="single" w:color="000000" w:sz="4" w:space="0"/>
            </w:tcBorders>
            <w:shd w:val="clear"/>
            <w:vAlign w:val="center"/>
          </w:tcPr>
          <w:p w14:paraId="6273C8BA">
            <w:pPr>
              <w:jc w:val="center"/>
              <w:rPr>
                <w:rFonts w:hint="eastAsia" w:ascii="宋体" w:hAnsi="宋体" w:eastAsia="宋体" w:cs="宋体"/>
                <w:i w:val="0"/>
                <w:iCs w:val="0"/>
                <w:color w:val="000000"/>
                <w:sz w:val="18"/>
                <w:szCs w:val="18"/>
                <w:u w:val="none"/>
              </w:rPr>
            </w:pPr>
          </w:p>
        </w:tc>
      </w:tr>
    </w:tbl>
    <w:p w14:paraId="2046B160">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522807F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以</w:t>
      </w:r>
      <w:r>
        <w:rPr>
          <w:rFonts w:hint="eastAsia" w:ascii="FangSong_GB2312" w:hAnsi="FangSong_GB2312" w:eastAsia="FangSong_GB2312" w:cs="FangSong_GB2312"/>
          <w:kern w:val="0"/>
          <w:sz w:val="32"/>
          <w:szCs w:val="32"/>
          <w:lang w:eastAsia="en-US"/>
        </w:rPr>
        <w:t>2022年自治区公共文化服务体系建设专项资金</w:t>
      </w:r>
      <w:r>
        <w:rPr>
          <w:rFonts w:ascii="FangSong_GB2312" w:hAnsi="FangSong_GB2312" w:eastAsia="FangSong_GB2312" w:cs="FangSong_GB2312"/>
          <w:kern w:val="0"/>
          <w:sz w:val="32"/>
          <w:szCs w:val="32"/>
        </w:rPr>
        <w:t>项目为例，该项目绩效评价综合得分为</w:t>
      </w:r>
      <w:r>
        <w:rPr>
          <w:rFonts w:hint="eastAsia"/>
          <w:color w:val="auto"/>
          <w:kern w:val="0"/>
          <w:sz w:val="32"/>
          <w:szCs w:val="32"/>
          <w:u w:val="single" w:color="auto"/>
          <w:lang w:val="en-US" w:eastAsia="zh-CN"/>
        </w:rPr>
        <w:t>100.00</w:t>
      </w:r>
      <w:r>
        <w:rPr>
          <w:rFonts w:ascii="FangSong_GB2312" w:hAnsi="FangSong_GB2312" w:eastAsia="FangSong_GB2312" w:cs="FangSong_GB2312"/>
          <w:kern w:val="0"/>
          <w:sz w:val="32"/>
          <w:szCs w:val="32"/>
        </w:rPr>
        <w:t>分，绩效评价结果为“优”。部门项目绩效评价得分情况详见</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具体绩效评价结果。</w:t>
      </w:r>
    </w:p>
    <w:p w14:paraId="3178CC25">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w:t>
      </w:r>
      <w:r>
        <w:rPr>
          <w:rFonts w:hint="eastAsia" w:ascii="楷体" w:hAnsi="楷体" w:eastAsia="楷体" w:cs="楷体"/>
          <w:b/>
          <w:bCs/>
          <w:kern w:val="0"/>
          <w:sz w:val="32"/>
          <w:szCs w:val="32"/>
          <w:lang w:eastAsia="zh-CN"/>
        </w:rPr>
        <w:t>单位</w:t>
      </w:r>
      <w:r>
        <w:rPr>
          <w:rFonts w:ascii="楷体" w:hAnsi="楷体" w:eastAsia="楷体" w:cs="楷体"/>
          <w:b/>
          <w:bCs/>
          <w:kern w:val="0"/>
          <w:sz w:val="32"/>
          <w:szCs w:val="32"/>
        </w:rPr>
        <w:t>预算绩效管理制度和核心绩效指标标准体系建设情况。</w:t>
      </w:r>
    </w:p>
    <w:p w14:paraId="22490CE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1</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制度建设情况</w:t>
      </w:r>
    </w:p>
    <w:p w14:paraId="06EEC12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为深入贯彻落实全面实施预算绩效管理的决策部署，我单位紧紧围绕"花钱必问效、无效必问责"的核心理念，着力构建科学规范、运转高效的预算绩效管理制度体系。</w:t>
      </w:r>
    </w:p>
    <w:p w14:paraId="43DB663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）健全制度框架。 以全面实施预算绩效管理的实施意见为统领，先后制定出台了覆盖事前绩效评估、绩效目标管理、绩效运行监控、绩效评价及结果应用等全流程的管理办法，形成了"1+N"预算绩效管理制度架构，确保绩效管理各环节有章可循、有据可依。</w:t>
      </w:r>
    </w:p>
    <w:p w14:paraId="26CB3C2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）明确责任分工。 建立"单位统筹、财务牵头、业务部门主责、项目单位落实"的四级工作格局，将绩效管理责任压实到具体岗位和人员，形成上下联动、协同推进的工作机制。</w:t>
      </w:r>
    </w:p>
    <w:p w14:paraId="17479C8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）强化制度执行。 定期开展制度执行情况检查和业务培训，确保各项制度要求落到实处。结合工作实际，及时修订完善不合时宜、不符实际的管理办法，保持制度的时效性和适用性。</w:t>
      </w:r>
    </w:p>
    <w:p w14:paraId="71A591E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2</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核心绩效指标标准体系建设情况</w:t>
      </w:r>
    </w:p>
    <w:p w14:paraId="03E5B0C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）构建"共性+个性"指标体系。 以《政府收支分类科目》支出功能分类为框架，按照"一个框架、两套体系、三级指标"的建设思路，构建部门整体和项目两套绩效指标体系。共性指标涵盖会议培训、信息系统建设、行政运转等通用类项目，实现共建共享；个性指标紧贴部门行业特点，聚焦核心业务领域，做到"一类事项一套指标、一个领域一套标准"的精准覆盖。</w:t>
      </w:r>
    </w:p>
    <w:p w14:paraId="5B46AA7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）突出指标的科学性与实用性。 遵循"内容完整、层次分明、细化量化、科学实用"的编制原则，优先选入常用、共识度高、与财政资金使用领域关系紧密的指标，做到可采集、可衡量、可比较。坚持定量为主、定性为辅，定量指标占比达到85%以上，确保绩效目标设置从"填空式"向"选择式"转变。</w:t>
      </w:r>
    </w:p>
    <w:p w14:paraId="49E1160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）推进指标体系动态优化。 建立绩效指标库动态管理机制，根据政策调整、项目实施情况及绩效评价结果，及时更新完善指标内容。对长期不用、表述重复或不规范的指标进行清理删减，对新增业务领域及时补充相应指标，确保指标体系始终贴合实际工作需要。</w:t>
      </w:r>
    </w:p>
    <w:p w14:paraId="5F50D78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4</w:t>
      </w:r>
      <w:r>
        <w:rPr>
          <w:rFonts w:hint="default" w:ascii="Times New Roman" w:hAnsi="Times New Roman" w:eastAsia="仿宋_GB2312" w:cs="Times New Roman"/>
          <w:kern w:val="0"/>
          <w:sz w:val="32"/>
          <w:szCs w:val="32"/>
          <w:lang w:val="en-US" w:eastAsia="en-US" w:bidi="ar-SA"/>
        </w:rPr>
        <w:t>）强化数字赋能应用。 将核心绩效指标体系嵌入预算管理一体化平台，预算单位在编制绩效目标时可一键勾选成熟指标，也可按需增加个性化指标，大幅提升了绩效目标编制的规范性和便捷性，有效破解了预算与绩效"两张皮"的难题。</w:t>
      </w:r>
    </w:p>
    <w:p w14:paraId="2852BAA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3</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全过程绩效管理闭环运行情况</w:t>
      </w:r>
    </w:p>
    <w:p w14:paraId="74499F3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）事前评估把关。 对新增重大政策和项目开展事前绩效评估，从源头上防控财政资金低效无效使用，切实提升预算编制的科学性。</w:t>
      </w:r>
    </w:p>
    <w:p w14:paraId="5393D34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）事中监控纠偏。 全面实行预算执行进度与绩效目标实现程度"双监控"，建立"月度跟踪、季度研判、节点预警、闭环整改"的常态化工作机制，对触发预警的项目及时跟进核实，采取调剂、盘活等措施，确保资金使用效益。</w:t>
      </w:r>
    </w:p>
    <w:p w14:paraId="6EACF9D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）事后评价问效。 建立"单位自评+财政重点评价"两级评价体系，聚焦重点领域和民生项目开展财政重点绩效评价，形成"评价—整改—提升"闭环机制。</w:t>
      </w:r>
    </w:p>
    <w:p w14:paraId="38B0BD1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4</w:t>
      </w:r>
      <w:r>
        <w:rPr>
          <w:rFonts w:hint="default" w:ascii="Times New Roman" w:hAnsi="Times New Roman" w:eastAsia="仿宋_GB2312" w:cs="Times New Roman"/>
          <w:kern w:val="0"/>
          <w:sz w:val="32"/>
          <w:szCs w:val="32"/>
          <w:lang w:val="en-US" w:eastAsia="en-US" w:bidi="ar-SA"/>
        </w:rPr>
        <w:t>）结果应用挂钩。 将绩效评价结果与预算安排、政策调整、部门考核"三挂钩"，对评价结果较差的项目坚决压减或取消预算安排，倒逼各部门强化成本效益意识，形成"决策有依据、支出有标准、投入重效益、问责有抓手"的预算绩效管理新格局。</w:t>
      </w:r>
    </w:p>
    <w:p w14:paraId="17D9A34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4</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取得的成效与下一步工作方向</w:t>
      </w:r>
    </w:p>
    <w:p w14:paraId="1E120BA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通过持续推进预算绩效管理制度和核心绩效指标标准体系建设，我单位财政资源配置效率和使用效益显著提升，预算编制的科学性和精准性不断增强，绩效管理理念已深度融入预算管理各环节。</w:t>
      </w:r>
    </w:p>
    <w:p w14:paraId="245674D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Times New Roman" w:cs="Times New Roman"/>
          <w:kern w:val="0"/>
          <w:sz w:val="24"/>
        </w:rPr>
      </w:pPr>
      <w:r>
        <w:rPr>
          <w:rFonts w:hint="default" w:ascii="Times New Roman" w:hAnsi="Times New Roman" w:eastAsia="仿宋_GB2312" w:cs="Times New Roman"/>
          <w:kern w:val="0"/>
          <w:sz w:val="32"/>
          <w:szCs w:val="32"/>
          <w:lang w:val="en-US" w:eastAsia="en-US" w:bidi="ar-SA"/>
        </w:rPr>
        <w:t>下一步，将持续深化预算绩效管理改革，进一步完善指标标准体系，扩大核心指标覆盖面，推动绩效管理从"立规矩"向"见实效"纵深发展，为财政资金使用提质增效提供坚实保障。</w:t>
      </w:r>
    </w:p>
    <w:p w14:paraId="2236AF64">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13D7EF2A">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13DA0455">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7105E00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53D178A5">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129F8281">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18A7D120">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2AF79B0A">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581C74A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4F90F74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185CB707">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7242C11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588E669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5F8354F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4D0D999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3BDA1748">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0AFE58C2">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用财政拨款安排的因公出国（境）费、公务用车购置及运行维护费和公务接待费。其中，因公出国（境）费反映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公务出国（境）的国际旅费、国外城市间交通费、住宿费、伙食费、培训费、公杂费等支出；公务用车购置及运行维护费反映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按规定开支的各类公务接待（含外宾接待）费用。</w:t>
      </w:r>
    </w:p>
    <w:p w14:paraId="67B12623">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4EA13269">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71F8952B">
      <w:pPr>
        <w:widowControl/>
        <w:spacing w:before="240" w:after="240"/>
        <w:jc w:val="left"/>
        <w:rPr>
          <w:rFonts w:ascii="Times New Roman" w:hAnsi="Times New Roman" w:eastAsia="Times New Roman" w:cs="Times New Roman"/>
          <w:kern w:val="0"/>
          <w:sz w:val="24"/>
        </w:rPr>
      </w:pPr>
    </w:p>
    <w:p w14:paraId="2DD96F2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决算公开信息反馈和联系方式：</w:t>
      </w:r>
    </w:p>
    <w:p w14:paraId="5E091BB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吕婧</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0473-2020782-</w:t>
      </w:r>
      <w:r>
        <w:rPr>
          <w:rFonts w:ascii="Calibri" w:hAnsi="Calibri" w:eastAsia="Calibri" w:cs="Calibri"/>
          <w:kern w:val="0"/>
          <w:sz w:val="32"/>
          <w:szCs w:val="32"/>
          <w:lang w:eastAsia="en-US"/>
        </w:rPr>
        <w:t> </w:t>
      </w:r>
    </w:p>
    <w:p w14:paraId="38D7B508">
      <w:pPr>
        <w:widowControl/>
        <w:spacing w:before="240" w:after="240"/>
        <w:jc w:val="left"/>
        <w:rPr>
          <w:rFonts w:ascii="Times New Roman" w:hAnsi="Times New Roman" w:eastAsia="Times New Roman" w:cs="Times New Roman"/>
          <w:kern w:val="0"/>
          <w:sz w:val="24"/>
        </w:rPr>
      </w:pPr>
    </w:p>
    <w:p w14:paraId="20D8F81D">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hint="eastAsia" w:ascii="fang_zheng_xiao_biao_song_ti" w:hAnsi="fang_zheng_xiao_biao_song_ti" w:eastAsia="宋体" w:cs="fang_zheng_xiao_biao_song_ti"/>
          <w:kern w:val="0"/>
          <w:sz w:val="36"/>
          <w:szCs w:val="36"/>
          <w:lang w:eastAsia="zh-CN"/>
        </w:rPr>
        <w:t>单位</w:t>
      </w:r>
      <w:r>
        <w:rPr>
          <w:rFonts w:ascii="fang_zheng_xiao_biao_song_ti" w:hAnsi="fang_zheng_xiao_biao_song_ti" w:eastAsia="fang_zheng_xiao_biao_song_ti" w:cs="fang_zheng_xiao_biao_song_ti"/>
          <w:kern w:val="0"/>
          <w:sz w:val="36"/>
          <w:szCs w:val="36"/>
        </w:rPr>
        <w:t>决算表</w:t>
      </w:r>
    </w:p>
    <w:p w14:paraId="1EFDE167">
      <w:pPr>
        <w:pStyle w:val="28"/>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05F0FE6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004736D6">
      <w:pPr>
        <w:adjustRightInd w:val="0"/>
        <w:snapToGrid w:val="0"/>
        <w:rPr>
          <w:rFonts w:ascii="宋体" w:hAnsi="宋体"/>
          <w:b/>
          <w:sz w:val="32"/>
          <w:szCs w:val="32"/>
        </w:rPr>
      </w:pPr>
    </w:p>
    <w:p w14:paraId="7C6DC12A">
      <w:pPr>
        <w:adjustRightInd w:val="0"/>
        <w:snapToGrid w:val="0"/>
        <w:rPr>
          <w:rFonts w:ascii="宋体" w:hAnsi="宋体"/>
          <w:b/>
          <w:sz w:val="32"/>
          <w:szCs w:val="32"/>
        </w:rPr>
      </w:pPr>
    </w:p>
    <w:p w14:paraId="79C74B05">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73A2EDC-ABF0-48B5-BE8D-76FF2FBE3E3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64D636E-C938-494A-929E-C6DA86364457}"/>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3" w:fontKey="{11ADF577-4C34-4166-ADCD-180B3EBD7B53}"/>
  </w:font>
  <w:font w:name="仿宋">
    <w:panose1 w:val="02010609060101010101"/>
    <w:charset w:val="86"/>
    <w:family w:val="modern"/>
    <w:pitch w:val="default"/>
    <w:sig w:usb0="800002BF" w:usb1="38CF7CFA" w:usb2="00000016" w:usb3="00000000" w:csb0="00040001" w:csb1="00000000"/>
    <w:embedRegular r:id="rId4" w:fontKey="{E0ADF21E-D618-43A2-8684-DC9200398EC2}"/>
  </w:font>
  <w:font w:name="FangSong_GB2312">
    <w:altName w:val="仿宋"/>
    <w:panose1 w:val="00000000000000000000"/>
    <w:charset w:val="00"/>
    <w:family w:val="auto"/>
    <w:pitch w:val="default"/>
    <w:sig w:usb0="00000000" w:usb1="00000000" w:usb2="00000000" w:usb3="00000000" w:csb0="00000000" w:csb1="00000000"/>
    <w:embedRegular r:id="rId5" w:fontKey="{BE6620F8-38FE-4636-872A-A2A12BFD1F33}"/>
  </w:font>
  <w:font w:name="方正小标宋简体">
    <w:panose1 w:val="02000000000000000000"/>
    <w:charset w:val="86"/>
    <w:family w:val="auto"/>
    <w:pitch w:val="default"/>
    <w:sig w:usb0="00000001" w:usb1="08000000" w:usb2="00000000" w:usb3="00000000" w:csb0="00040000" w:csb1="00000000"/>
    <w:embedRegular r:id="rId6" w:fontKey="{FA427757-DE93-426E-82C6-1EDF8B86CCD0}"/>
  </w:font>
  <w:font w:name="楷体">
    <w:panose1 w:val="02010609060101010101"/>
    <w:charset w:val="86"/>
    <w:family w:val="auto"/>
    <w:pitch w:val="default"/>
    <w:sig w:usb0="800002BF" w:usb1="38CF7CFA" w:usb2="00000016" w:usb3="00000000" w:csb0="00040001" w:csb1="00000000"/>
    <w:embedRegular r:id="rId7" w:fontKey="{67AE171C-CD4B-4EC1-8983-DFC2440C6245}"/>
  </w:font>
  <w:font w:name="times_new_roman">
    <w:altName w:val="Segoe Print"/>
    <w:panose1 w:val="00000000000000000000"/>
    <w:charset w:val="00"/>
    <w:family w:val="auto"/>
    <w:pitch w:val="default"/>
    <w:sig w:usb0="00000000" w:usb1="00000000" w:usb2="00000000" w:usb3="00000000" w:csb0="00000000" w:csb1="00000000"/>
    <w:embedRegular r:id="rId8" w:fontKey="{F7552CA8-3612-41DE-8451-DBB50EF0C096}"/>
  </w:font>
  <w:font w:name="Segoe Print">
    <w:panose1 w:val="02000600000000000000"/>
    <w:charset w:val="00"/>
    <w:family w:val="auto"/>
    <w:pitch w:val="default"/>
    <w:sig w:usb0="0000028F" w:usb1="00000000" w:usb2="00000000" w:usb3="00000000" w:csb0="2000009F" w:csb1="47010000"/>
  </w:font>
  <w:font w:name="fang_zheng_xiao_biao_song_ti">
    <w:altName w:val="Segoe Print"/>
    <w:panose1 w:val="00000000000000000000"/>
    <w:charset w:val="00"/>
    <w:family w:val="auto"/>
    <w:pitch w:val="default"/>
    <w:sig w:usb0="00000000" w:usb1="00000000" w:usb2="00000000" w:usb3="00000000" w:csb0="00000000" w:csb1="00000000"/>
    <w:embedRegular r:id="rId9" w:fontKey="{30D8B7AF-060D-4DE7-AFA0-A5C57BABBDA6}"/>
  </w:font>
  <w:font w:name="KSOF8BCA4F43">
    <w:panose1 w:val="02010609060101010101"/>
    <w:charset w:val="86"/>
    <w:family w:val="auto"/>
    <w:pitch w:val="default"/>
    <w:sig w:usb0="00000001" w:usb1="00000000" w:usb2="00000000" w:usb3="00000000" w:csb0="00040001" w:csb1="00000000"/>
  </w:font>
  <w:font w:name="KSOF8BCAC3A2">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embedRegular r:id="rId10" w:fontKey="{AE7EF648-6674-4423-99AF-FBB31AC0DD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E7509">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FFA60">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59682B"/>
    <w:rsid w:val="51846C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paragraph" w:styleId="5">
    <w:name w:val="heading 4"/>
    <w:basedOn w:val="1"/>
    <w:next w:val="1"/>
    <w:link w:val="22"/>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6">
    <w:name w:val="toc 7"/>
    <w:basedOn w:val="1"/>
    <w:next w:val="1"/>
    <w:uiPriority w:val="0"/>
    <w:pPr>
      <w:ind w:left="1260"/>
      <w:jc w:val="left"/>
    </w:pPr>
    <w:rPr>
      <w:sz w:val="20"/>
      <w:szCs w:val="20"/>
    </w:rPr>
  </w:style>
  <w:style w:type="paragraph" w:styleId="7">
    <w:name w:val="Document Map"/>
    <w:basedOn w:val="1"/>
    <w:uiPriority w:val="0"/>
    <w:pPr>
      <w:shd w:val="clear" w:color="auto" w:fill="000080"/>
    </w:pPr>
  </w:style>
  <w:style w:type="paragraph" w:styleId="8">
    <w:name w:val="toc 5"/>
    <w:basedOn w:val="1"/>
    <w:next w:val="1"/>
    <w:qFormat/>
    <w:uiPriority w:val="0"/>
    <w:pPr>
      <w:ind w:left="840"/>
      <w:jc w:val="left"/>
    </w:pPr>
    <w:rPr>
      <w:sz w:val="20"/>
      <w:szCs w:val="20"/>
    </w:rPr>
  </w:style>
  <w:style w:type="paragraph" w:styleId="9">
    <w:name w:val="toc 3"/>
    <w:basedOn w:val="1"/>
    <w:next w:val="1"/>
    <w:uiPriority w:val="0"/>
    <w:pPr>
      <w:adjustRightInd w:val="0"/>
      <w:snapToGrid w:val="0"/>
      <w:spacing w:line="360" w:lineRule="auto"/>
      <w:ind w:firstLine="400" w:firstLineChars="400"/>
      <w:jc w:val="left"/>
    </w:pPr>
    <w:rPr>
      <w:sz w:val="24"/>
      <w:szCs w:val="20"/>
    </w:rPr>
  </w:style>
  <w:style w:type="paragraph" w:styleId="10">
    <w:name w:val="toc 8"/>
    <w:basedOn w:val="1"/>
    <w:next w:val="1"/>
    <w:qFormat/>
    <w:uiPriority w:val="0"/>
    <w:pPr>
      <w:ind w:left="1470"/>
      <w:jc w:val="left"/>
    </w:pPr>
    <w:rPr>
      <w:sz w:val="20"/>
      <w:szCs w:val="20"/>
    </w:rPr>
  </w:style>
  <w:style w:type="paragraph" w:styleId="11">
    <w:name w:val="footer"/>
    <w:basedOn w:val="1"/>
    <w:link w:val="25"/>
    <w:qFormat/>
    <w:uiPriority w:val="0"/>
    <w:pPr>
      <w:tabs>
        <w:tab w:val="center" w:pos="4153"/>
        <w:tab w:val="right" w:pos="8306"/>
      </w:tabs>
      <w:snapToGrid w:val="0"/>
      <w:jc w:val="left"/>
    </w:pPr>
    <w:rPr>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uiPriority w:val="0"/>
    <w:pPr>
      <w:ind w:left="630"/>
      <w:jc w:val="left"/>
    </w:pPr>
    <w:rPr>
      <w:sz w:val="20"/>
      <w:szCs w:val="20"/>
    </w:rPr>
  </w:style>
  <w:style w:type="paragraph" w:styleId="15">
    <w:name w:val="toc 6"/>
    <w:basedOn w:val="1"/>
    <w:next w:val="1"/>
    <w:uiPriority w:val="0"/>
    <w:pPr>
      <w:ind w:left="1050"/>
      <w:jc w:val="left"/>
    </w:pPr>
    <w:rPr>
      <w:sz w:val="20"/>
      <w:szCs w:val="20"/>
    </w:rPr>
  </w:style>
  <w:style w:type="paragraph" w:styleId="16">
    <w:name w:val="toc 2"/>
    <w:basedOn w:val="1"/>
    <w:next w:val="1"/>
    <w:uiPriority w:val="0"/>
    <w:pPr>
      <w:adjustRightInd w:val="0"/>
      <w:snapToGrid w:val="0"/>
      <w:spacing w:line="360" w:lineRule="auto"/>
      <w:ind w:firstLine="200" w:firstLineChars="200"/>
      <w:jc w:val="left"/>
    </w:pPr>
    <w:rPr>
      <w:iCs/>
      <w:sz w:val="24"/>
      <w:szCs w:val="20"/>
    </w:rPr>
  </w:style>
  <w:style w:type="paragraph" w:styleId="17">
    <w:name w:val="toc 9"/>
    <w:basedOn w:val="1"/>
    <w:next w:val="1"/>
    <w:qFormat/>
    <w:uiPriority w:val="0"/>
    <w:pPr>
      <w:ind w:left="1680"/>
      <w:jc w:val="left"/>
    </w:pPr>
    <w:rPr>
      <w:sz w:val="20"/>
      <w:szCs w:val="20"/>
    </w:rPr>
  </w:style>
  <w:style w:type="character" w:styleId="20">
    <w:name w:val="page number"/>
    <w:basedOn w:val="19"/>
    <w:uiPriority w:val="0"/>
  </w:style>
  <w:style w:type="character" w:styleId="21">
    <w:name w:val="Hyperlink"/>
    <w:basedOn w:val="19"/>
    <w:qFormat/>
    <w:uiPriority w:val="0"/>
    <w:rPr>
      <w:color w:val="0000FF"/>
      <w:u w:val="single"/>
    </w:rPr>
  </w:style>
  <w:style w:type="character" w:customStyle="1" w:styleId="22">
    <w:name w:val="标题 4 Char"/>
    <w:basedOn w:val="19"/>
    <w:link w:val="5"/>
    <w:uiPriority w:val="0"/>
    <w:rPr>
      <w:rFonts w:ascii="Cambria" w:hAnsi="Cambria"/>
      <w:b/>
      <w:bCs/>
      <w:kern w:val="2"/>
      <w:sz w:val="28"/>
      <w:szCs w:val="28"/>
    </w:rPr>
  </w:style>
  <w:style w:type="paragraph" w:styleId="23">
    <w:name w:val="No Spacing"/>
    <w:link w:val="24"/>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4">
    <w:name w:val="无间隔 Char"/>
    <w:link w:val="23"/>
    <w:qFormat/>
    <w:locked/>
    <w:uiPriority w:val="0"/>
    <w:rPr>
      <w:rFonts w:eastAsia="仿宋_GB2312"/>
      <w:sz w:val="30"/>
      <w:szCs w:val="22"/>
      <w:lang w:bidi="ar-SA"/>
    </w:rPr>
  </w:style>
  <w:style w:type="character" w:customStyle="1" w:styleId="25">
    <w:name w:val="页脚 Char"/>
    <w:basedOn w:val="19"/>
    <w:link w:val="11"/>
    <w:qFormat/>
    <w:uiPriority w:val="0"/>
    <w:rPr>
      <w:kern w:val="2"/>
      <w:sz w:val="18"/>
      <w:szCs w:val="18"/>
    </w:rPr>
  </w:style>
  <w:style w:type="paragraph" w:styleId="26">
    <w:name w:val="List Paragraph"/>
    <w:basedOn w:val="1"/>
    <w:qFormat/>
    <w:uiPriority w:val="0"/>
    <w:pPr>
      <w:ind w:firstLine="420" w:firstLineChars="200"/>
    </w:pPr>
  </w:style>
  <w:style w:type="character" w:customStyle="1" w:styleId="27">
    <w:name w:val="标题 3 Char"/>
    <w:basedOn w:val="19"/>
    <w:link w:val="4"/>
    <w:qFormat/>
    <w:uiPriority w:val="0"/>
    <w:rPr>
      <w:b/>
      <w:bCs/>
      <w:kern w:val="2"/>
      <w:sz w:val="32"/>
      <w:szCs w:val="32"/>
    </w:rPr>
  </w:style>
  <w:style w:type="paragraph" w:customStyle="1" w:styleId="28">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29</Pages>
  <Words>27</Words>
  <Characters>30</Characters>
  <Lines>1</Lines>
  <Paragraphs>1</Paragraphs>
  <TotalTime>0</TotalTime>
  <ScaleCrop>false</ScaleCrop>
  <LinksUpToDate>false</LinksUpToDate>
  <CharactersWithSpaces>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WPS_1614743011</cp:lastModifiedBy>
  <cp:lastPrinted>2021-04-16T00:45:00Z</cp:lastPrinted>
  <dcterms:modified xsi:type="dcterms:W3CDTF">2026-09-11T08:42:35Z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13AAA7C51EFA403492129F204AE49B0C_13</vt:lpwstr>
  </property>
  <property fmtid="{D5CDD505-2E9C-101B-9397-08002B2CF9AE}" pid="3" name="KSOProductBuildVer">
    <vt:lpwstr>2052-12.1.0.28505</vt:lpwstr>
  </property>
  <property fmtid="{D5CDD505-2E9C-101B-9397-08002B2CF9AE}" pid="4" name="KSOTemplateDocerSaveRecord">
    <vt:lpwstr>eyJoZGlkIjoiNzEwNDBkNjkzMTc4MmI2ZjhlZTUxYjk2NzU3NjMzZWIiLCJ1c2VySWQiOiIxMTczMjQ3MjkzIn0=</vt:lpwstr>
  </property>
</Properties>
</file>