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footer1.xml" ContentType="application/vnd.openxmlformats-officedocument.wordprocessingml.footer+xml"/>
  <Override PartName="/customXml/itemProps1.xml" ContentType="application/vnd.openxmlformats-officedocument.customXmlProperties+xml"/>
  <Override PartName="/word/numbering.xml" ContentType="application/vnd.openxmlformats-officedocument.wordprocessingml.numbering+xml"/>
  <Override PartName="/word/footer2.xml" ContentType="application/vnd.openxmlformats-officedocument.wordprocessingml.footer+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7A127AB2">
      <w:pPr>
        <w:pStyle w:val="style0"/>
        <w:spacing w:lineRule="auto" w:line="360"/>
        <w:jc w:val="center"/>
        <w:rPr>
          <w:rFonts w:ascii="宋体" w:hAnsi="宋体"/>
          <w:sz w:val="24"/>
        </w:rPr>
      </w:pPr>
    </w:p>
    <w:p w14:paraId="55CC1088">
      <w:pPr>
        <w:pStyle w:val="style0"/>
        <w:spacing w:lineRule="auto" w:line="360"/>
        <w:jc w:val="center"/>
        <w:rPr>
          <w:rFonts w:ascii="宋体" w:hAnsi="宋体"/>
          <w:sz w:val="24"/>
        </w:rPr>
      </w:pPr>
    </w:p>
    <w:p w14:paraId="6D3745C7">
      <w:pPr>
        <w:pStyle w:val="style0"/>
        <w:spacing w:lineRule="auto" w:line="360"/>
        <w:jc w:val="center"/>
        <w:rPr>
          <w:rFonts w:ascii="宋体" w:hAnsi="宋体"/>
          <w:sz w:val="24"/>
        </w:rPr>
      </w:pPr>
    </w:p>
    <w:p w14:paraId="252FF533">
      <w:pPr>
        <w:pStyle w:val="style0"/>
        <w:spacing w:lineRule="auto" w:line="360"/>
        <w:jc w:val="center"/>
        <w:rPr>
          <w:rFonts w:ascii="宋体" w:hAnsi="宋体"/>
          <w:sz w:val="24"/>
        </w:rPr>
      </w:pPr>
    </w:p>
    <w:p w14:paraId="3D5C14A2">
      <w:pPr>
        <w:pStyle w:val="style0"/>
        <w:spacing w:lineRule="auto" w:line="360"/>
        <w:jc w:val="center"/>
        <w:rPr>
          <w:rFonts w:ascii="宋体" w:hAnsi="宋体"/>
          <w:b/>
          <w:bCs/>
          <w:sz w:val="52"/>
          <w:szCs w:val="52"/>
        </w:rPr>
      </w:pPr>
      <w:r>
        <w:rPr>
          <w:rFonts w:ascii="宋体" w:hAnsi="宋体"/>
          <w:b/>
          <w:bCs/>
          <w:sz w:val="52"/>
          <w:szCs w:val="52"/>
        </w:rPr>
        <w:t>2024</w:t>
      </w:r>
      <w:r>
        <w:rPr>
          <w:rFonts w:ascii="宋体" w:hAnsi="宋体" w:hint="eastAsia"/>
          <w:b/>
          <w:bCs/>
          <w:sz w:val="52"/>
          <w:szCs w:val="52"/>
        </w:rPr>
        <w:t>年度乌海市文化市场综合行政执法局</w:t>
      </w:r>
    </w:p>
    <w:p w14:paraId="430447B8">
      <w:pPr>
        <w:pStyle w:val="style0"/>
        <w:spacing w:lineRule="auto" w:line="360"/>
        <w:jc w:val="center"/>
        <w:rPr>
          <w:rFonts w:ascii="宋体" w:hAnsi="宋体"/>
          <w:b/>
          <w:bCs/>
          <w:sz w:val="52"/>
          <w:szCs w:val="52"/>
        </w:rPr>
      </w:pPr>
      <w:r>
        <w:rPr>
          <w:rFonts w:ascii="宋体" w:hAnsi="宋体" w:hint="eastAsia"/>
          <w:b/>
          <w:bCs/>
          <w:sz w:val="52"/>
          <w:szCs w:val="52"/>
        </w:rPr>
        <w:t>公开报告</w:t>
      </w:r>
    </w:p>
    <w:p w14:paraId="56495B8A">
      <w:pPr>
        <w:pStyle w:val="style0"/>
        <w:spacing w:lineRule="auto" w:line="360"/>
        <w:jc w:val="center"/>
        <w:rPr>
          <w:rFonts w:ascii="宋体" w:hAnsi="宋体"/>
          <w:b/>
          <w:bCs/>
          <w:sz w:val="52"/>
          <w:szCs w:val="52"/>
        </w:rPr>
      </w:pPr>
    </w:p>
    <w:p w14:paraId="75E02416">
      <w:pPr>
        <w:pStyle w:val="style0"/>
        <w:spacing w:lineRule="auto" w:line="360"/>
        <w:jc w:val="center"/>
        <w:rPr>
          <w:rFonts w:ascii="宋体" w:hAnsi="宋体"/>
          <w:b/>
          <w:bCs/>
          <w:sz w:val="52"/>
          <w:szCs w:val="52"/>
        </w:rPr>
      </w:pPr>
    </w:p>
    <w:p w14:paraId="13FE0578">
      <w:pPr>
        <w:pStyle w:val="style0"/>
        <w:spacing w:lineRule="auto" w:line="360"/>
        <w:jc w:val="center"/>
        <w:rPr>
          <w:rFonts w:ascii="宋体" w:hAnsi="宋体"/>
          <w:b/>
          <w:bCs/>
          <w:sz w:val="52"/>
          <w:szCs w:val="52"/>
        </w:rPr>
      </w:pPr>
    </w:p>
    <w:p w14:paraId="036B7A52">
      <w:pPr>
        <w:pStyle w:val="style0"/>
        <w:spacing w:lineRule="auto" w:line="360"/>
        <w:jc w:val="center"/>
        <w:rPr>
          <w:rFonts w:ascii="宋体" w:hAnsi="宋体"/>
          <w:b/>
          <w:bCs/>
          <w:sz w:val="52"/>
          <w:szCs w:val="52"/>
        </w:rPr>
      </w:pPr>
    </w:p>
    <w:p w14:paraId="5F98D913">
      <w:pPr>
        <w:pStyle w:val="style0"/>
        <w:spacing w:lineRule="auto" w:line="360"/>
        <w:jc w:val="center"/>
        <w:rPr>
          <w:rFonts w:ascii="宋体" w:hAnsi="宋体"/>
          <w:b/>
          <w:bCs/>
          <w:sz w:val="52"/>
          <w:szCs w:val="52"/>
        </w:rPr>
      </w:pPr>
    </w:p>
    <w:p w14:paraId="62506E11">
      <w:pPr>
        <w:pStyle w:val="style0"/>
        <w:ind w:firstLine="2249" w:firstLineChars="700"/>
        <w:rPr>
          <w:rFonts w:ascii="仿宋" w:eastAsia="仿宋" w:hAnsi="仿宋"/>
          <w:b/>
          <w:sz w:val="32"/>
          <w:szCs w:val="32"/>
        </w:rPr>
        <w:sectPr>
          <w:footerReference w:type="default" r:id="rId2"/>
          <w:pgSz w:w="11906" w:h="16838" w:orient="portrait"/>
          <w:pgMar w:top="1440" w:right="1083" w:bottom="1440" w:left="1083" w:header="0" w:footer="720" w:gutter="0"/>
          <w:cols w:space="425" w:num="1"/>
          <w:docGrid w:type="lines" w:linePitch="312" w:charSpace="0"/>
        </w:sectPr>
      </w:pPr>
    </w:p>
    <w:bookmarkStart w:id="0" w:name="a000"/>
    <w:p w14:paraId="47B637F0">
      <w:pPr>
        <w:pStyle w:val="style0"/>
        <w:keepNext w:val="false"/>
        <w:keepLines w:val="false"/>
        <w:pageBreakBefore w:val="false"/>
        <w:widowControl/>
        <w:kinsoku/>
        <w:wordWrap/>
        <w:overflowPunct/>
        <w:topLinePunct w:val="false"/>
        <w:autoSpaceDE/>
        <w:autoSpaceDN/>
        <w:bidi w:val="false"/>
        <w:adjustRightInd/>
        <w:snapToGrid/>
        <w:spacing w:after="240" w:lineRule="exact" w:line="600"/>
        <w:jc w:val="center"/>
        <w:textAlignment w:val="auto"/>
        <w:rPr>
          <w:rFonts w:ascii="仿宋_GB2312" w:cs="仿宋_GB2312" w:eastAsia="仿宋_GB2312" w:hAnsi="仿宋_GB2312"/>
          <w:b/>
          <w:bCs/>
          <w:kern w:val="0"/>
          <w:sz w:val="54"/>
          <w:szCs w:val="54"/>
        </w:rPr>
      </w:pPr>
    </w:p>
    <w:p w14:paraId="7A252492">
      <w:pPr>
        <w:pStyle w:val="style0"/>
        <w:keepNext w:val="false"/>
        <w:keepLines w:val="false"/>
        <w:pageBreakBefore w:val="false"/>
        <w:widowControl/>
        <w:kinsoku/>
        <w:wordWrap/>
        <w:overflowPunct/>
        <w:topLinePunct w:val="false"/>
        <w:autoSpaceDE/>
        <w:autoSpaceDN/>
        <w:bidi w:val="false"/>
        <w:adjustRightInd/>
        <w:snapToGrid/>
        <w:spacing w:after="240" w:lineRule="exact" w:line="600"/>
        <w:jc w:val="center"/>
        <w:textAlignment w:val="auto"/>
        <w:rPr>
          <w:rFonts w:ascii="Times New Roman" w:cs="Times New Roman" w:eastAsia="Times New Roman" w:hAnsi="Times New Roman"/>
          <w:kern w:val="0"/>
          <w:sz w:val="24"/>
        </w:rPr>
      </w:pPr>
      <w:r>
        <w:rPr>
          <w:rFonts w:ascii="仿宋_GB2312" w:cs="仿宋_GB2312" w:eastAsia="仿宋_GB2312" w:hAnsi="仿宋_GB2312"/>
          <w:b/>
          <w:bCs/>
          <w:kern w:val="0"/>
          <w:sz w:val="54"/>
          <w:szCs w:val="54"/>
        </w:rPr>
        <w:t>目 录</w:t>
      </w:r>
    </w:p>
    <w:p w14:paraId="2D0D3D3E">
      <w:pPr>
        <w:pStyle w:val="style0"/>
        <w:keepNext w:val="false"/>
        <w:keepLines w:val="false"/>
        <w:pageBreakBefore w:val="false"/>
        <w:widowControl/>
        <w:kinsoku/>
        <w:wordWrap/>
        <w:overflowPunct/>
        <w:topLinePunct w:val="false"/>
        <w:autoSpaceDE/>
        <w:autoSpaceDN/>
        <w:bidi w:val="false"/>
        <w:adjustRightInd/>
        <w:snapToGrid/>
        <w:spacing w:before="240" w:after="240" w:lineRule="exact" w:line="600"/>
        <w:jc w:val="left"/>
        <w:textAlignment w:val="auto"/>
        <w:rPr>
          <w:rFonts w:ascii="Times New Roman" w:cs="Times New Roman" w:eastAsia="Times New Roman" w:hAnsi="Times New Roman"/>
          <w:kern w:val="0"/>
          <w:sz w:val="24"/>
        </w:rPr>
      </w:pPr>
      <w:r>
        <w:rPr>
          <w:rFonts w:ascii="Times New Roman" w:cs="Times New Roman" w:eastAsia="Times New Roman" w:hAnsi="Times New Roman"/>
          <w:b/>
          <w:bCs/>
          <w:kern w:val="0"/>
          <w:sz w:val="24"/>
        </w:rPr>
        <w:t> </w:t>
      </w:r>
    </w:p>
    <w:p w14:paraId="10A1FF1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bCs/>
          <w:kern w:val="0"/>
          <w:sz w:val="32"/>
          <w:szCs w:val="32"/>
          <w:lang w:eastAsia="zh-CN"/>
        </w:rPr>
        <w:t>第一部分 单位概况</w:t>
      </w:r>
    </w:p>
    <w:p w14:paraId="1E11067E">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一、主要职能、职责</w:t>
      </w:r>
    </w:p>
    <w:p w14:paraId="477BCF91">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二、单位机构设置及决算单位构成情况</w:t>
      </w:r>
    </w:p>
    <w:p w14:paraId="2075E534">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三、2024年度单位主要工作完成情况</w:t>
      </w:r>
    </w:p>
    <w:p w14:paraId="7137165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bCs/>
          <w:kern w:val="0"/>
          <w:sz w:val="32"/>
          <w:szCs w:val="32"/>
          <w:lang w:eastAsia="zh-CN"/>
        </w:rPr>
      </w:pPr>
      <w:r>
        <w:rPr>
          <w:rFonts w:ascii="仿宋_GB2312" w:cs="仿宋_GB2312" w:eastAsia="仿宋_GB2312" w:hAnsi="仿宋_GB2312" w:hint="default"/>
          <w:b/>
          <w:bCs/>
          <w:kern w:val="0"/>
          <w:sz w:val="32"/>
          <w:szCs w:val="32"/>
          <w:lang w:eastAsia="zh-CN"/>
        </w:rPr>
        <w:t>第二部分 单位决算情况说明</w:t>
      </w:r>
    </w:p>
    <w:p w14:paraId="414CB127">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一、收入支出决算总体情况说明</w:t>
      </w:r>
    </w:p>
    <w:p w14:paraId="3AF595A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二、收入决算情况说明</w:t>
      </w:r>
    </w:p>
    <w:p w14:paraId="73DD9CD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三、支出决算情况说明</w:t>
      </w:r>
    </w:p>
    <w:p w14:paraId="3712A10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四、财政拨款收入支出决算总体情况说明</w:t>
      </w:r>
    </w:p>
    <w:p w14:paraId="5C05CB1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五、一般公共预算财政拨款支出决算情况说明</w:t>
      </w:r>
    </w:p>
    <w:p w14:paraId="5F7C078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六、一般公共预算财政拨款基本支出决算情况说明</w:t>
      </w:r>
    </w:p>
    <w:p w14:paraId="5FB0043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七、一般公共预算财政拨款项目支出决算情况说明</w:t>
      </w:r>
    </w:p>
    <w:p w14:paraId="5785883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八、财政拨款“三公”经费支出决算情况说明</w:t>
      </w:r>
    </w:p>
    <w:p w14:paraId="2AAD84D1">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九、政府性基金预算财政拨款支出决算情况说明</w:t>
      </w:r>
    </w:p>
    <w:p w14:paraId="6948EBD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十、国有资本经营预算财政拨款支出决算情况说明</w:t>
      </w:r>
    </w:p>
    <w:p w14:paraId="3DD460A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十一、机关运行经费（公用经费）支出决算情况说明</w:t>
      </w:r>
    </w:p>
    <w:p w14:paraId="28B3D29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十二、政府采购支出决算情况说明</w:t>
      </w:r>
    </w:p>
    <w:p w14:paraId="2916994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十三、国有资产占用情况说明</w:t>
      </w:r>
    </w:p>
    <w:p w14:paraId="05390C7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十四、预算绩效情况说明</w:t>
      </w:r>
    </w:p>
    <w:p w14:paraId="6D3AC32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bCs/>
          <w:kern w:val="0"/>
          <w:sz w:val="32"/>
          <w:szCs w:val="32"/>
          <w:lang w:eastAsia="zh-CN"/>
        </w:rPr>
      </w:pPr>
      <w:r>
        <w:rPr>
          <w:rFonts w:ascii="仿宋_GB2312" w:cs="仿宋_GB2312" w:eastAsia="仿宋_GB2312" w:hAnsi="仿宋_GB2312" w:hint="default"/>
          <w:b/>
          <w:bCs/>
          <w:kern w:val="0"/>
          <w:sz w:val="32"/>
          <w:szCs w:val="32"/>
          <w:lang w:eastAsia="zh-CN"/>
        </w:rPr>
        <w:t>第三部分 名词解释</w:t>
      </w:r>
    </w:p>
    <w:p w14:paraId="23D0948E">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bCs/>
          <w:kern w:val="0"/>
          <w:sz w:val="32"/>
          <w:szCs w:val="32"/>
          <w:lang w:eastAsia="zh-CN"/>
        </w:rPr>
      </w:pPr>
      <w:r>
        <w:rPr>
          <w:rFonts w:ascii="仿宋_GB2312" w:cs="仿宋_GB2312" w:eastAsia="仿宋_GB2312" w:hAnsi="仿宋_GB2312" w:hint="default"/>
          <w:b/>
          <w:bCs/>
          <w:kern w:val="0"/>
          <w:sz w:val="32"/>
          <w:szCs w:val="32"/>
          <w:lang w:eastAsia="zh-CN"/>
        </w:rPr>
        <w:t>第四部分 决算公开联系方式及信息反馈渠道</w:t>
      </w:r>
    </w:p>
    <w:p w14:paraId="6FB08D0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bCs/>
          <w:kern w:val="0"/>
          <w:sz w:val="32"/>
          <w:szCs w:val="32"/>
          <w:lang w:eastAsia="zh-CN"/>
        </w:rPr>
      </w:pPr>
      <w:r>
        <w:rPr>
          <w:rFonts w:ascii="仿宋_GB2312" w:cs="仿宋_GB2312" w:eastAsia="仿宋_GB2312" w:hAnsi="仿宋_GB2312" w:hint="default"/>
          <w:b/>
          <w:bCs/>
          <w:kern w:val="0"/>
          <w:sz w:val="32"/>
          <w:szCs w:val="32"/>
          <w:lang w:eastAsia="zh-CN"/>
        </w:rPr>
        <w:t>第五部分 单位决算表</w:t>
      </w:r>
    </w:p>
    <w:p w14:paraId="5B7E1064">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一、收入支出决算总表</w:t>
      </w:r>
    </w:p>
    <w:p w14:paraId="4C54B7C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二、收入决算表</w:t>
      </w:r>
    </w:p>
    <w:p w14:paraId="6A10B8F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三、支出决算表</w:t>
      </w:r>
    </w:p>
    <w:p w14:paraId="27F80C7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四、财政拨款收入支出决算总表</w:t>
      </w:r>
    </w:p>
    <w:p w14:paraId="66B22221">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五、一般公共预算财政拨款支出决算表</w:t>
      </w:r>
    </w:p>
    <w:p w14:paraId="5055776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六、一般公共预算财政拨款基本支出决算明细表</w:t>
      </w:r>
    </w:p>
    <w:p w14:paraId="7EBBE77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七、一般公共预算财政拨款项目支出决算明细表</w:t>
      </w:r>
    </w:p>
    <w:p w14:paraId="0437C71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八、政府性基金预算财政拨款收入支出决算表</w:t>
      </w:r>
    </w:p>
    <w:p w14:paraId="59A0C5BE">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九、国有资本经营预算财政拨款收入支出决算表</w:t>
      </w:r>
    </w:p>
    <w:p w14:paraId="7D662CC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十、财政拨款“三公”经费支出决算表</w:t>
      </w:r>
    </w:p>
    <w:p w14:paraId="4D5527FE">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十一、机关运行经费支出、国有资产占用情况及政府采购支出信息表</w:t>
      </w:r>
    </w:p>
    <w:p w14:paraId="0450FD7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p>
    <w:p w14:paraId="1B8EC8B8">
      <w:pPr>
        <w:pStyle w:val="style62"/>
        <w:rPr>
          <w:rFonts w:ascii="Times New Roman" w:cs="Times New Roman" w:eastAsia="Times New Roman" w:hAnsi="Times New Roman"/>
          <w:kern w:val="0"/>
          <w:sz w:val="24"/>
        </w:rPr>
      </w:pPr>
    </w:p>
    <w:p w14:paraId="1AB63981">
      <w:pPr>
        <w:pStyle w:val="style67"/>
        <w:rPr>
          <w:rFonts w:ascii="Times New Roman" w:cs="Times New Roman" w:eastAsia="Times New Roman" w:hAnsi="Times New Roman"/>
          <w:kern w:val="0"/>
          <w:sz w:val="24"/>
        </w:rPr>
      </w:pPr>
    </w:p>
    <w:p w14:paraId="181C41CD">
      <w:pPr>
        <w:pStyle w:val="style4098"/>
        <w:rPr>
          <w:rFonts w:ascii="Times New Roman" w:cs="Times New Roman" w:eastAsia="Times New Roman" w:hAnsi="Times New Roman"/>
          <w:kern w:val="0"/>
          <w:sz w:val="24"/>
        </w:rPr>
      </w:pPr>
    </w:p>
    <w:p w14:paraId="176CA09C">
      <w:pPr>
        <w:pStyle w:val="style0"/>
        <w:rPr>
          <w:rFonts w:ascii="Times New Roman" w:cs="Times New Roman" w:eastAsia="Times New Roman" w:hAnsi="Times New Roman"/>
          <w:kern w:val="0"/>
          <w:sz w:val="24"/>
        </w:rPr>
      </w:pPr>
    </w:p>
    <w:p w14:paraId="69D76C14">
      <w:pPr>
        <w:pStyle w:val="style62"/>
        <w:rPr>
          <w:rFonts w:ascii="Times New Roman" w:cs="Times New Roman" w:eastAsia="Times New Roman" w:hAnsi="Times New Roman"/>
          <w:kern w:val="0"/>
          <w:sz w:val="24"/>
        </w:rPr>
      </w:pPr>
    </w:p>
    <w:p w14:paraId="05C09EFD">
      <w:pPr>
        <w:pStyle w:val="style67"/>
        <w:rPr>
          <w:rFonts w:ascii="Times New Roman" w:cs="Times New Roman" w:eastAsia="Times New Roman" w:hAnsi="Times New Roman"/>
          <w:kern w:val="0"/>
          <w:sz w:val="24"/>
        </w:rPr>
      </w:pPr>
    </w:p>
    <w:p w14:paraId="685F8BF9">
      <w:pPr>
        <w:pStyle w:val="style4098"/>
        <w:rPr>
          <w:rFonts w:ascii="Times New Roman" w:cs="Times New Roman" w:eastAsia="Times New Roman" w:hAnsi="Times New Roman"/>
          <w:kern w:val="0"/>
          <w:sz w:val="24"/>
        </w:rPr>
      </w:pPr>
    </w:p>
    <w:p w14:paraId="6706A711">
      <w:pPr>
        <w:pStyle w:val="style0"/>
        <w:rPr>
          <w:rFonts w:ascii="Times New Roman" w:cs="Times New Roman" w:eastAsia="Times New Roman" w:hAnsi="Times New Roman"/>
          <w:kern w:val="0"/>
          <w:sz w:val="24"/>
        </w:rPr>
      </w:pPr>
    </w:p>
    <w:p w14:paraId="567D9855">
      <w:pPr>
        <w:pStyle w:val="style62"/>
        <w:rPr>
          <w:rFonts w:ascii="Times New Roman" w:cs="Times New Roman" w:eastAsia="Times New Roman" w:hAnsi="Times New Roman"/>
          <w:kern w:val="0"/>
          <w:sz w:val="24"/>
        </w:rPr>
      </w:pPr>
    </w:p>
    <w:p w14:paraId="1B7237C3">
      <w:pPr>
        <w:pStyle w:val="style67"/>
        <w:rPr>
          <w:rFonts w:ascii="Times New Roman" w:cs="Times New Roman" w:eastAsia="Times New Roman" w:hAnsi="Times New Roman"/>
          <w:kern w:val="0"/>
          <w:sz w:val="24"/>
        </w:rPr>
      </w:pPr>
    </w:p>
    <w:p w14:paraId="08A9AEC0">
      <w:pPr>
        <w:pStyle w:val="style4098"/>
        <w:rPr>
          <w:rFonts w:ascii="Times New Roman" w:cs="Times New Roman" w:eastAsia="Times New Roman" w:hAnsi="Times New Roman"/>
          <w:kern w:val="0"/>
          <w:sz w:val="24"/>
        </w:rPr>
      </w:pPr>
    </w:p>
    <w:p w14:paraId="6643CB17">
      <w:pPr>
        <w:pStyle w:val="style0"/>
        <w:rPr>
          <w:rFonts w:ascii="Times New Roman" w:cs="Times New Roman" w:eastAsia="Times New Roman" w:hAnsi="Times New Roman"/>
          <w:kern w:val="0"/>
          <w:sz w:val="24"/>
        </w:rPr>
      </w:pPr>
    </w:p>
    <w:p w14:paraId="502D5D84">
      <w:pPr>
        <w:pStyle w:val="style62"/>
        <w:rPr>
          <w:rFonts w:ascii="Times New Roman" w:cs="Times New Roman" w:eastAsia="Times New Roman" w:hAnsi="Times New Roman"/>
          <w:kern w:val="0"/>
          <w:sz w:val="24"/>
        </w:rPr>
      </w:pPr>
    </w:p>
    <w:p w14:paraId="5B26A5E9">
      <w:pPr>
        <w:pStyle w:val="style2"/>
        <w:keepNext w:val="false"/>
        <w:keepLines w:val="false"/>
        <w:widowControl/>
        <w:spacing w:before="299" w:after="299" w:lineRule="auto" w:line="240"/>
        <w:jc w:val="center"/>
        <w:rPr>
          <w:rFonts w:ascii="Times New Roman" w:cs="Times New Roman" w:eastAsia="Times New Roman" w:hAnsi="Times New Roman"/>
          <w:b w:val="false"/>
          <w:bCs w:val="false"/>
          <w:kern w:val="0"/>
          <w:sz w:val="36"/>
          <w:szCs w:val="36"/>
        </w:rPr>
      </w:pPr>
      <w:r>
        <w:rPr>
          <w:rFonts w:ascii="方正小标宋简体" w:cs="方正小标宋简体" w:eastAsia="方正小标宋简体" w:hAnsi="方正小标宋简体" w:hint="eastAsia"/>
          <w:b/>
          <w:bCs/>
          <w:kern w:val="0"/>
          <w:sz w:val="36"/>
          <w:szCs w:val="36"/>
        </w:rPr>
        <w:t>第一部分 单位概况</w:t>
      </w:r>
    </w:p>
    <w:p w14:paraId="21DB0E3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eastAsia="zh-CN"/>
        </w:rPr>
      </w:pPr>
      <w:r>
        <w:rPr>
          <w:rFonts w:ascii="黑体" w:cs="黑体" w:eastAsia="黑体" w:hAnsi="黑体" w:hint="eastAsia"/>
          <w:b/>
          <w:bCs/>
          <w:kern w:val="0"/>
          <w:sz w:val="32"/>
          <w:szCs w:val="32"/>
          <w:lang w:eastAsia="zh-CN"/>
        </w:rPr>
        <w:t>一、主要职能、职责</w:t>
      </w:r>
    </w:p>
    <w:p w14:paraId="1B83D215">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(一)集中行使文化(文物)、新闻出版(版权)、广播电影电视、网络文化等领域的执法职能。</w:t>
      </w:r>
    </w:p>
    <w:p w14:paraId="5080393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(二)归并旅游领域执法职能，承担全市旅游市场执法监管职责。</w:t>
      </w:r>
    </w:p>
    <w:p w14:paraId="31BEE48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(三)归并体育领域执法职能，承担全市体育执法监管职责。</w:t>
      </w:r>
    </w:p>
    <w:p w14:paraId="59B430F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eastAsia="zh-CN"/>
        </w:rPr>
      </w:pPr>
      <w:r>
        <w:rPr>
          <w:rFonts w:ascii="黑体" w:cs="黑体" w:eastAsia="黑体" w:hAnsi="黑体" w:hint="eastAsia"/>
          <w:b/>
          <w:bCs/>
          <w:kern w:val="0"/>
          <w:sz w:val="32"/>
          <w:szCs w:val="32"/>
          <w:lang w:eastAsia="zh-CN"/>
        </w:rPr>
        <w:t>二、单位机构设置及决算单位构成情况</w:t>
      </w:r>
    </w:p>
    <w:p w14:paraId="79ACE5C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1</w:t>
      </w:r>
      <w:r>
        <w:rPr>
          <w:rFonts w:ascii="仿宋_GB2312" w:cs="仿宋_GB2312" w:eastAsia="仿宋_GB2312" w:hAnsi="仿宋_GB2312" w:hint="eastAsia"/>
          <w:b w:val="false"/>
          <w:bCs w:val="false"/>
          <w:kern w:val="0"/>
          <w:sz w:val="32"/>
          <w:szCs w:val="32"/>
          <w:lang w:eastAsia="zh-CN"/>
        </w:rPr>
        <w:t>.根据单位职责分工，本单位内设机构包括</w:t>
      </w:r>
      <w:r>
        <w:rPr>
          <w:rFonts w:ascii="仿宋_GB2312" w:cs="仿宋_GB2312" w:eastAsia="仿宋_GB2312" w:hAnsi="仿宋_GB2312" w:hint="eastAsia"/>
          <w:b w:val="false"/>
          <w:bCs w:val="false"/>
          <w:kern w:val="0"/>
          <w:sz w:val="32"/>
          <w:szCs w:val="32"/>
          <w:lang w:val="en-US" w:eastAsia="zh-CN"/>
        </w:rPr>
        <w:t>7个科室</w:t>
      </w:r>
      <w:r>
        <w:rPr>
          <w:rFonts w:ascii="仿宋_GB2312" w:cs="仿宋_GB2312" w:eastAsia="仿宋_GB2312" w:hAnsi="仿宋_GB2312" w:hint="eastAsia"/>
          <w:b w:val="false"/>
          <w:bCs w:val="false"/>
          <w:kern w:val="0"/>
          <w:sz w:val="32"/>
          <w:szCs w:val="32"/>
          <w:lang w:eastAsia="zh-CN"/>
        </w:rPr>
        <w:t>：海勃湾大队、乌达大队、海南大队、综合科、人事教育科、执法监察科、法制科。本单位无下属单位。</w:t>
      </w:r>
    </w:p>
    <w:p w14:paraId="1CC3F01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2.</w:t>
      </w:r>
      <w:r>
        <w:rPr>
          <w:rFonts w:ascii="仿宋_GB2312" w:cs="仿宋_GB2312" w:eastAsia="仿宋_GB2312" w:hAnsi="仿宋_GB2312" w:hint="eastAsia"/>
          <w:b w:val="false"/>
          <w:bCs w:val="false"/>
          <w:kern w:val="0"/>
          <w:sz w:val="32"/>
          <w:szCs w:val="32"/>
          <w:lang w:eastAsia="zh-CN"/>
        </w:rPr>
        <w:t>从决算单位构成看，纳入本单位202</w:t>
      </w:r>
      <w:r>
        <w:rPr>
          <w:rFonts w:ascii="仿宋_GB2312" w:cs="仿宋_GB2312" w:eastAsia="仿宋_GB2312" w:hAnsi="仿宋_GB2312" w:hint="eastAsia"/>
          <w:b w:val="false"/>
          <w:bCs w:val="false"/>
          <w:kern w:val="0"/>
          <w:sz w:val="32"/>
          <w:szCs w:val="32"/>
          <w:lang w:val="en-US" w:eastAsia="zh-CN"/>
        </w:rPr>
        <w:t>4</w:t>
      </w:r>
      <w:r>
        <w:rPr>
          <w:rFonts w:ascii="仿宋_GB2312" w:cs="仿宋_GB2312" w:eastAsia="仿宋_GB2312" w:hAnsi="仿宋_GB2312" w:hint="eastAsia"/>
          <w:b w:val="false"/>
          <w:bCs w:val="false"/>
          <w:kern w:val="0"/>
          <w:sz w:val="32"/>
          <w:szCs w:val="32"/>
          <w:lang w:eastAsia="zh-CN"/>
        </w:rPr>
        <w:t>年决算编制范围的预算单位共计</w:t>
      </w:r>
      <w:r>
        <w:rPr>
          <w:rFonts w:ascii="仿宋_GB2312" w:cs="仿宋_GB2312" w:eastAsia="仿宋_GB2312" w:hAnsi="仿宋_GB2312" w:hint="eastAsia"/>
          <w:b w:val="false"/>
          <w:bCs w:val="false"/>
          <w:kern w:val="0"/>
          <w:sz w:val="32"/>
          <w:szCs w:val="32"/>
          <w:lang w:val="en-US" w:eastAsia="zh-CN"/>
        </w:rPr>
        <w:t>1</w:t>
      </w:r>
      <w:r>
        <w:rPr>
          <w:rFonts w:ascii="仿宋_GB2312" w:cs="仿宋_GB2312" w:eastAsia="仿宋_GB2312" w:hAnsi="仿宋_GB2312" w:hint="eastAsia"/>
          <w:b w:val="false"/>
          <w:bCs w:val="false"/>
          <w:kern w:val="0"/>
          <w:sz w:val="32"/>
          <w:szCs w:val="32"/>
          <w:lang w:eastAsia="zh-CN"/>
        </w:rPr>
        <w:t>家，具体包括：乌海市文化市场综合行政执法局。详细情况见表：</w:t>
      </w:r>
    </w:p>
    <w:tbl>
      <w:tblPr>
        <w:tblStyle w:val="style105"/>
        <w:tblW w:w="8468" w:type="dxa"/>
        <w:tblInd w:w="0" w:type="dxa"/>
        <w:tblBorders>
          <w:top w:val="single" w:sz="4" w:space="0" w:color="auto"/>
          <w:left w:val="single" w:sz="4" w:space="0" w:color="auto"/>
          <w:bottom w:val="single" w:sz="4" w:space="0" w:color="auto"/>
          <w:right w:val="single" w:sz="4" w:space="0" w:color="auto"/>
          <w:insideH w:val="none" w:sz="0" w:space="0" w:color="auto"/>
          <w:insideV w:val="none" w:sz="0" w:space="0" w:color="auto"/>
        </w:tblBorders>
        <w:tblLayout w:type="fixed"/>
        <w:tblCellMar>
          <w:top w:w="0" w:type="dxa"/>
          <w:left w:w="108" w:type="dxa"/>
          <w:bottom w:w="0" w:type="dxa"/>
          <w:right w:w="108" w:type="dxa"/>
        </w:tblCellMar>
      </w:tblPr>
      <w:tblGrid>
        <w:gridCol w:w="873"/>
        <w:gridCol w:w="3839"/>
        <w:gridCol w:w="3756"/>
      </w:tblGrid>
      <w:tr w14:paraId="4D719DFF">
        <w:trPr>
          <w:trHeight w:val="687" w:hRule="atLeast"/>
        </w:trPr>
        <w:tc>
          <w:tcPr>
            <w:tcW w:w="873" w:type="dxa"/>
            <w:tcBorders>
              <w:top w:val="single" w:sz="6" w:space="0" w:color="auto"/>
              <w:left w:val="single" w:sz="6" w:space="0" w:color="auto"/>
              <w:bottom w:val="single" w:sz="6" w:space="0" w:color="auto"/>
              <w:right w:val="single" w:sz="6" w:space="0" w:color="auto"/>
              <w:tl2br w:val="nil"/>
              <w:tr2bl w:val="nil"/>
            </w:tcBorders>
          </w:tcPr>
          <w:p w14:paraId="358605EF">
            <w:pPr>
              <w:pStyle w:val="style0"/>
              <w:keepNext w:val="false"/>
              <w:keepLines w:val="false"/>
              <w:pageBreakBefore w:val="false"/>
              <w:kinsoku/>
              <w:wordWrap/>
              <w:overflowPunct/>
              <w:topLinePunct w:val="false"/>
              <w:autoSpaceDE/>
              <w:autoSpaceDN/>
              <w:bidi w:val="false"/>
              <w:adjustRightInd/>
              <w:snapToGrid/>
              <w:spacing w:lineRule="exact" w:line="600"/>
              <w:textAlignment w:val="auto"/>
              <w:rPr>
                <w:rFonts w:ascii="Times New Roman" w:eastAsia="Times New Roman" w:hAnsi="Times New Roman" w:hint="eastAsia"/>
                <w:color w:val="000000"/>
                <w:sz w:val="31"/>
                <w:szCs w:val="24"/>
                <w:u w:val="none"/>
              </w:rPr>
            </w:pPr>
            <w:r>
              <w:rPr>
                <w:rFonts w:ascii="仿宋_GB2312" w:eastAsia="仿宋_GB2312" w:hAnsi="仿宋_GB2312" w:hint="eastAsia"/>
                <w:color w:val="000000"/>
                <w:sz w:val="31"/>
                <w:szCs w:val="24"/>
                <w:u w:val="none"/>
              </w:rPr>
              <w:t>序号</w:t>
            </w:r>
          </w:p>
        </w:tc>
        <w:tc>
          <w:tcPr>
            <w:tcW w:w="3839" w:type="dxa"/>
            <w:tcBorders>
              <w:top w:val="single" w:sz="6" w:space="0" w:color="auto"/>
              <w:left w:val="single" w:sz="6" w:space="0" w:color="auto"/>
              <w:bottom w:val="single" w:sz="6" w:space="0" w:color="auto"/>
              <w:right w:val="single" w:sz="6" w:space="0" w:color="auto"/>
              <w:tl2br w:val="nil"/>
              <w:tr2bl w:val="nil"/>
            </w:tcBorders>
          </w:tcPr>
          <w:p w14:paraId="5A74A540">
            <w:pPr>
              <w:pStyle w:val="style0"/>
              <w:keepNext w:val="false"/>
              <w:keepLines w:val="false"/>
              <w:pageBreakBefore w:val="false"/>
              <w:kinsoku/>
              <w:wordWrap/>
              <w:overflowPunct/>
              <w:topLinePunct w:val="false"/>
              <w:autoSpaceDE/>
              <w:autoSpaceDN/>
              <w:bidi w:val="false"/>
              <w:adjustRightInd/>
              <w:snapToGrid/>
              <w:spacing w:lineRule="exact" w:line="600"/>
              <w:textAlignment w:val="auto"/>
              <w:rPr>
                <w:rFonts w:ascii="Times New Roman" w:eastAsia="Times New Roman" w:hAnsi="Times New Roman" w:hint="eastAsia"/>
                <w:color w:val="000000"/>
                <w:sz w:val="31"/>
                <w:szCs w:val="24"/>
                <w:u w:val="none"/>
              </w:rPr>
            </w:pPr>
            <w:r>
              <w:rPr>
                <w:rFonts w:ascii="仿宋_GB2312" w:eastAsia="仿宋_GB2312" w:hAnsi="仿宋_GB2312" w:hint="eastAsia"/>
                <w:color w:val="000000"/>
                <w:sz w:val="31"/>
                <w:szCs w:val="24"/>
                <w:u w:val="none"/>
              </w:rPr>
              <w:t>单位名称</w:t>
            </w:r>
          </w:p>
        </w:tc>
        <w:tc>
          <w:tcPr>
            <w:tcW w:w="3756" w:type="dxa"/>
            <w:tcBorders>
              <w:top w:val="single" w:sz="6" w:space="0" w:color="auto"/>
              <w:left w:val="single" w:sz="6" w:space="0" w:color="auto"/>
              <w:bottom w:val="single" w:sz="6" w:space="0" w:color="auto"/>
              <w:right w:val="single" w:sz="6" w:space="0" w:color="auto"/>
              <w:tl2br w:val="nil"/>
              <w:tr2bl w:val="nil"/>
            </w:tcBorders>
          </w:tcPr>
          <w:p w14:paraId="2941051A">
            <w:pPr>
              <w:pStyle w:val="style0"/>
              <w:keepNext w:val="false"/>
              <w:keepLines w:val="false"/>
              <w:pageBreakBefore w:val="false"/>
              <w:kinsoku/>
              <w:wordWrap/>
              <w:overflowPunct/>
              <w:topLinePunct w:val="false"/>
              <w:autoSpaceDE/>
              <w:autoSpaceDN/>
              <w:bidi w:val="false"/>
              <w:adjustRightInd/>
              <w:snapToGrid/>
              <w:spacing w:lineRule="exact" w:line="600"/>
              <w:textAlignment w:val="auto"/>
              <w:rPr>
                <w:rFonts w:ascii="Times New Roman" w:eastAsia="Times New Roman" w:hAnsi="Times New Roman" w:hint="eastAsia"/>
                <w:color w:val="000000"/>
                <w:sz w:val="31"/>
                <w:szCs w:val="24"/>
                <w:u w:val="none"/>
              </w:rPr>
            </w:pPr>
            <w:r>
              <w:rPr>
                <w:rFonts w:ascii="仿宋_GB2312" w:eastAsia="仿宋_GB2312" w:hAnsi="仿宋_GB2312" w:hint="eastAsia"/>
                <w:color w:val="000000"/>
                <w:sz w:val="31"/>
                <w:szCs w:val="24"/>
                <w:u w:val="none"/>
              </w:rPr>
              <w:t>单位性质</w:t>
            </w:r>
          </w:p>
        </w:tc>
      </w:tr>
      <w:tr w14:paraId="40BF7090">
        <w:tblPrEx/>
        <w:trPr/>
        <w:tc>
          <w:tcPr>
            <w:tcW w:w="873" w:type="dxa"/>
            <w:tcBorders>
              <w:top w:val="single" w:sz="6" w:space="0" w:color="auto"/>
              <w:left w:val="single" w:sz="6" w:space="0" w:color="auto"/>
              <w:bottom w:val="single" w:sz="6" w:space="0" w:color="auto"/>
              <w:right w:val="single" w:sz="6" w:space="0" w:color="auto"/>
              <w:tl2br w:val="nil"/>
              <w:tr2bl w:val="nil"/>
            </w:tcBorders>
          </w:tcPr>
          <w:p w14:paraId="7CD5E2E0">
            <w:pPr>
              <w:pStyle w:val="style0"/>
              <w:keepNext w:val="false"/>
              <w:keepLines w:val="false"/>
              <w:pageBreakBefore w:val="false"/>
              <w:kinsoku/>
              <w:wordWrap/>
              <w:overflowPunct/>
              <w:topLinePunct w:val="false"/>
              <w:autoSpaceDE/>
              <w:autoSpaceDN/>
              <w:bidi w:val="false"/>
              <w:adjustRightInd/>
              <w:snapToGrid/>
              <w:spacing w:lineRule="exact" w:line="600"/>
              <w:jc w:val="center"/>
              <w:textAlignment w:val="auto"/>
              <w:rPr>
                <w:rFonts w:ascii="Times New Roman" w:eastAsia="Times New Roman" w:hAnsi="Times New Roman" w:hint="eastAsia"/>
                <w:color w:val="000000"/>
                <w:sz w:val="31"/>
                <w:szCs w:val="24"/>
                <w:u w:val="none"/>
              </w:rPr>
            </w:pPr>
            <w:r>
              <w:rPr>
                <w:rFonts w:ascii="Times New Roman" w:eastAsia="Times New Roman" w:hAnsi="Times New Roman" w:hint="eastAsia"/>
                <w:color w:val="000000"/>
                <w:sz w:val="31"/>
                <w:szCs w:val="24"/>
                <w:u w:val="none"/>
              </w:rPr>
              <w:t>1</w:t>
            </w:r>
          </w:p>
        </w:tc>
        <w:tc>
          <w:tcPr>
            <w:tcW w:w="3839" w:type="dxa"/>
            <w:tcBorders>
              <w:top w:val="single" w:sz="6" w:space="0" w:color="auto"/>
              <w:left w:val="single" w:sz="6" w:space="0" w:color="auto"/>
              <w:bottom w:val="single" w:sz="6" w:space="0" w:color="auto"/>
              <w:right w:val="single" w:sz="6" w:space="0" w:color="auto"/>
              <w:tl2br w:val="nil"/>
              <w:tr2bl w:val="nil"/>
            </w:tcBorders>
          </w:tcPr>
          <w:p w14:paraId="2AEF96A1">
            <w:pPr>
              <w:pStyle w:val="style0"/>
              <w:keepNext w:val="false"/>
              <w:keepLines w:val="false"/>
              <w:pageBreakBefore w:val="false"/>
              <w:kinsoku/>
              <w:wordWrap/>
              <w:overflowPunct/>
              <w:topLinePunct w:val="false"/>
              <w:autoSpaceDE/>
              <w:autoSpaceDN/>
              <w:bidi w:val="false"/>
              <w:adjustRightInd/>
              <w:snapToGrid/>
              <w:spacing w:lineRule="exact" w:line="600"/>
              <w:textAlignment w:val="auto"/>
              <w:rPr>
                <w:rFonts w:ascii="Times New Roman" w:eastAsia="Times New Roman" w:hAnsi="Times New Roman" w:hint="eastAsia"/>
                <w:color w:val="000000"/>
                <w:sz w:val="31"/>
                <w:szCs w:val="24"/>
                <w:u w:val="none"/>
              </w:rPr>
            </w:pPr>
            <w:r>
              <w:rPr>
                <w:rFonts w:ascii="仿宋_GB2312" w:cs="仿宋_GB2312" w:eastAsia="仿宋_GB2312" w:hAnsi="Times New Roman" w:hint="eastAsia"/>
                <w:sz w:val="32"/>
                <w:szCs w:val="32"/>
                <w:u w:val="none"/>
              </w:rPr>
              <w:t>乌海市文化</w:t>
            </w:r>
            <w:r>
              <w:rPr>
                <w:rFonts w:ascii="仿宋_GB2312" w:cs="仿宋_GB2312" w:eastAsia="仿宋_GB2312" w:hint="eastAsia"/>
                <w:sz w:val="32"/>
                <w:szCs w:val="32"/>
                <w:u w:val="none"/>
                <w:lang w:eastAsia="zh-CN"/>
              </w:rPr>
              <w:t>市场</w:t>
            </w:r>
            <w:r>
              <w:rPr>
                <w:rFonts w:ascii="仿宋_GB2312" w:cs="仿宋_GB2312" w:eastAsia="仿宋_GB2312" w:hAnsi="Times New Roman" w:hint="eastAsia"/>
                <w:sz w:val="32"/>
                <w:szCs w:val="32"/>
                <w:u w:val="none"/>
              </w:rPr>
              <w:t>综合</w:t>
            </w:r>
            <w:r>
              <w:rPr>
                <w:rFonts w:ascii="仿宋_GB2312" w:cs="仿宋_GB2312" w:eastAsia="仿宋_GB2312" w:hint="eastAsia"/>
                <w:sz w:val="32"/>
                <w:szCs w:val="32"/>
                <w:u w:val="none"/>
                <w:lang w:eastAsia="zh-CN"/>
              </w:rPr>
              <w:t>行政</w:t>
            </w:r>
            <w:r>
              <w:rPr>
                <w:rFonts w:ascii="仿宋_GB2312" w:cs="仿宋_GB2312" w:eastAsia="仿宋_GB2312" w:hAnsi="Times New Roman" w:hint="eastAsia"/>
                <w:sz w:val="32"/>
                <w:szCs w:val="32"/>
                <w:u w:val="none"/>
              </w:rPr>
              <w:t>执法局</w:t>
            </w:r>
          </w:p>
        </w:tc>
        <w:tc>
          <w:tcPr>
            <w:tcW w:w="3756" w:type="dxa"/>
            <w:tcBorders>
              <w:top w:val="single" w:sz="6" w:space="0" w:color="auto"/>
              <w:left w:val="single" w:sz="6" w:space="0" w:color="auto"/>
              <w:bottom w:val="single" w:sz="6" w:space="0" w:color="auto"/>
              <w:right w:val="single" w:sz="6" w:space="0" w:color="auto"/>
              <w:tl2br w:val="nil"/>
              <w:tr2bl w:val="nil"/>
            </w:tcBorders>
          </w:tcPr>
          <w:p w14:paraId="50AB4EF8">
            <w:pPr>
              <w:pStyle w:val="style0"/>
              <w:keepNext w:val="false"/>
              <w:keepLines w:val="false"/>
              <w:pageBreakBefore w:val="false"/>
              <w:kinsoku/>
              <w:wordWrap/>
              <w:overflowPunct/>
              <w:topLinePunct w:val="false"/>
              <w:autoSpaceDE/>
              <w:autoSpaceDN/>
              <w:bidi w:val="false"/>
              <w:adjustRightInd/>
              <w:snapToGrid/>
              <w:spacing w:lineRule="exact" w:line="600"/>
              <w:textAlignment w:val="auto"/>
              <w:rPr>
                <w:rFonts w:ascii="Times New Roman" w:eastAsia="Times New Roman" w:hAnsi="Times New Roman" w:hint="eastAsia"/>
                <w:color w:val="000000"/>
                <w:sz w:val="31"/>
                <w:szCs w:val="24"/>
                <w:u w:val="none"/>
              </w:rPr>
            </w:pPr>
            <w:r>
              <w:rPr>
                <w:rFonts w:ascii="仿宋_GB2312" w:eastAsia="仿宋_GB2312" w:hAnsi="仿宋_GB2312" w:hint="eastAsia"/>
                <w:color w:val="000000"/>
                <w:sz w:val="31"/>
                <w:szCs w:val="24"/>
                <w:u w:val="none"/>
              </w:rPr>
              <w:t>参照公务员法管理的事业单位</w:t>
            </w:r>
          </w:p>
        </w:tc>
      </w:tr>
    </w:tbl>
    <w:p w14:paraId="4EE7CCB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default"/>
          <w:b/>
          <w:bCs/>
          <w:kern w:val="0"/>
          <w:sz w:val="32"/>
          <w:szCs w:val="32"/>
          <w:lang w:eastAsia="zh-CN"/>
        </w:rPr>
      </w:pPr>
      <w:r>
        <w:rPr>
          <w:rFonts w:ascii="黑体" w:cs="黑体" w:eastAsia="黑体" w:hAnsi="黑体" w:hint="eastAsia"/>
          <w:b/>
          <w:bCs/>
          <w:kern w:val="0"/>
          <w:sz w:val="32"/>
          <w:szCs w:val="32"/>
          <w:lang w:eastAsia="zh-CN"/>
        </w:rPr>
        <w:t>三、2024年度单位主要工作完成情况</w:t>
      </w:r>
    </w:p>
    <w:p w14:paraId="5D27636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（一）加强法制宣传教育</w:t>
      </w:r>
    </w:p>
    <w:p w14:paraId="36433BF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（二）坚持依法行政保障文旅市场健康发展</w:t>
      </w:r>
    </w:p>
    <w:p w14:paraId="477A315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（三）多措并举提升执法规范化建设</w:t>
      </w:r>
    </w:p>
    <w:p w14:paraId="104CF24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eastAsia="zh-CN"/>
        </w:rPr>
        <w:t>（四）不断优化执法方式。</w:t>
      </w:r>
    </w:p>
    <w:p w14:paraId="608E71B9">
      <w:pPr>
        <w:pStyle w:val="style2"/>
        <w:keepNext w:val="false"/>
        <w:keepLines w:val="false"/>
        <w:pageBreakBefore w:val="false"/>
        <w:widowControl/>
        <w:kinsoku/>
        <w:wordWrap/>
        <w:overflowPunct/>
        <w:topLinePunct w:val="false"/>
        <w:autoSpaceDE/>
        <w:autoSpaceDN/>
        <w:bidi w:val="false"/>
        <w:adjustRightInd/>
        <w:snapToGrid/>
        <w:spacing w:before="299" w:after="299" w:lineRule="exact" w:line="600"/>
        <w:jc w:val="center"/>
        <w:textAlignment w:val="auto"/>
        <w:rPr>
          <w:rFonts w:ascii="方正小标宋简体" w:cs="方正小标宋简体" w:eastAsia="方正小标宋简体" w:hAnsi="方正小标宋简体" w:hint="eastAsia"/>
          <w:b w:val="false"/>
          <w:bCs w:val="false"/>
          <w:kern w:val="0"/>
          <w:sz w:val="36"/>
          <w:szCs w:val="36"/>
        </w:rPr>
      </w:pPr>
      <w:r>
        <w:rPr>
          <w:rFonts w:ascii="方正小标宋简体" w:cs="方正小标宋简体" w:eastAsia="方正小标宋简体" w:hAnsi="方正小标宋简体" w:hint="eastAsia"/>
          <w:b/>
          <w:bCs/>
          <w:kern w:val="0"/>
          <w:sz w:val="36"/>
          <w:szCs w:val="36"/>
        </w:rPr>
        <w:t>第二部分 单位决算情况说明</w:t>
      </w:r>
    </w:p>
    <w:p w14:paraId="0315752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eastAsia="zh-CN"/>
        </w:rPr>
      </w:pPr>
      <w:r>
        <w:rPr>
          <w:rFonts w:ascii="黑体" w:cs="黑体" w:eastAsia="黑体" w:hAnsi="黑体" w:hint="eastAsia"/>
          <w:b/>
          <w:bCs/>
          <w:kern w:val="0"/>
          <w:sz w:val="32"/>
          <w:szCs w:val="32"/>
          <w:lang w:eastAsia="zh-CN"/>
        </w:rPr>
        <w:t>一、收入支出决算总体情况说明</w:t>
      </w:r>
    </w:p>
    <w:p w14:paraId="390EF18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乌海市文化市场综合行政执法局 2024年度收入、支出决算总计均为 495.98万元。与年初预算相比，收、支总计各增加 20.80万元，增长 4.38%，变动原因：</w:t>
      </w:r>
      <w:r>
        <w:rPr>
          <w:rFonts w:ascii="仿宋_GB2312" w:cs="仿宋_GB2312" w:eastAsia="仿宋_GB2312" w:hAnsi="仿宋_GB2312" w:hint="eastAsia"/>
          <w:b w:val="false"/>
          <w:bCs w:val="false"/>
          <w:kern w:val="0"/>
          <w:sz w:val="32"/>
          <w:szCs w:val="32"/>
          <w:lang w:eastAsia="zh-CN"/>
        </w:rPr>
        <w:t>人员工资增加，日常公用经费增加</w:t>
      </w:r>
      <w:r>
        <w:rPr>
          <w:rFonts w:ascii="仿宋_GB2312" w:cs="仿宋_GB2312" w:eastAsia="仿宋_GB2312" w:hAnsi="仿宋_GB2312" w:hint="default"/>
          <w:b w:val="false"/>
          <w:bCs w:val="false"/>
          <w:kern w:val="0"/>
          <w:sz w:val="32"/>
          <w:szCs w:val="32"/>
          <w:lang w:eastAsia="zh-CN"/>
        </w:rPr>
        <w:t>；与上年决算相比，收、支总计各增加 8.12万元，增长 1.67%。其中：</w:t>
      </w:r>
    </w:p>
    <w:p w14:paraId="0934EFD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楷体" w:cs="楷体" w:eastAsia="楷体" w:hAnsi="楷体" w:hint="eastAsia"/>
          <w:b w:val="false"/>
          <w:bCs w:val="false"/>
          <w:kern w:val="0"/>
          <w:sz w:val="32"/>
          <w:szCs w:val="32"/>
          <w:lang w:eastAsia="zh-CN"/>
        </w:rPr>
        <w:t>（一）收入决算总计 495.98万元。包括：</w:t>
      </w:r>
    </w:p>
    <w:p w14:paraId="209854A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1.本年收入决算合计 495.98万元。与上年决算相比，增加 8.12万元，增长 1.67%，变动原因：</w:t>
      </w:r>
      <w:r>
        <w:rPr>
          <w:rFonts w:ascii="仿宋_GB2312" w:cs="仿宋_GB2312" w:eastAsia="仿宋_GB2312" w:hAnsi="仿宋_GB2312" w:hint="eastAsia"/>
          <w:b w:val="false"/>
          <w:bCs w:val="false"/>
          <w:kern w:val="0"/>
          <w:sz w:val="32"/>
          <w:szCs w:val="32"/>
          <w:lang w:eastAsia="zh-CN"/>
        </w:rPr>
        <w:t>人员工资增加，日常公用经费增加</w:t>
      </w:r>
      <w:r>
        <w:rPr>
          <w:rFonts w:ascii="仿宋_GB2312" w:cs="仿宋_GB2312" w:eastAsia="仿宋_GB2312" w:hAnsi="仿宋_GB2312" w:hint="default"/>
          <w:b w:val="false"/>
          <w:bCs w:val="false"/>
          <w:kern w:val="0"/>
          <w:sz w:val="32"/>
          <w:szCs w:val="32"/>
          <w:lang w:eastAsia="zh-CN"/>
        </w:rPr>
        <w:t>。</w:t>
      </w:r>
    </w:p>
    <w:p w14:paraId="1A9E3A7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2.使用非财政拨款结余（含专用结余） 0万元。与上年决算相比，增加0万元，增长 0%，变动原因：</w:t>
      </w:r>
      <w:r>
        <w:rPr>
          <w:rFonts w:ascii="仿宋_GB2312" w:cs="仿宋_GB2312" w:eastAsia="仿宋_GB2312" w:hAnsi="仿宋_GB2312" w:hint="eastAsia"/>
          <w:b w:val="false"/>
          <w:bCs w:val="false"/>
          <w:kern w:val="0"/>
          <w:sz w:val="32"/>
          <w:szCs w:val="32"/>
          <w:lang w:eastAsia="zh-CN"/>
        </w:rPr>
        <w:t>本年无非财政拨款结转结余</w:t>
      </w:r>
      <w:r>
        <w:rPr>
          <w:rFonts w:ascii="仿宋_GB2312" w:cs="仿宋_GB2312" w:eastAsia="仿宋_GB2312" w:hAnsi="仿宋_GB2312" w:hint="default"/>
          <w:b w:val="false"/>
          <w:bCs w:val="false"/>
          <w:kern w:val="0"/>
          <w:sz w:val="32"/>
          <w:szCs w:val="32"/>
          <w:lang w:eastAsia="zh-CN"/>
        </w:rPr>
        <w:t>。</w:t>
      </w:r>
    </w:p>
    <w:p w14:paraId="78C5600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3.年初结转和结余 0万元。与上年决算相比，增加0万元，增长 0%，变动原因：</w:t>
      </w:r>
      <w:r>
        <w:rPr>
          <w:rFonts w:ascii="仿宋_GB2312" w:cs="仿宋_GB2312" w:eastAsia="仿宋_GB2312" w:hAnsi="仿宋_GB2312" w:hint="eastAsia"/>
          <w:b w:val="false"/>
          <w:bCs w:val="false"/>
          <w:kern w:val="0"/>
          <w:sz w:val="32"/>
          <w:szCs w:val="32"/>
          <w:lang w:eastAsia="zh-CN"/>
        </w:rPr>
        <w:t>我局无年初结转结余</w:t>
      </w:r>
      <w:r>
        <w:rPr>
          <w:rFonts w:ascii="仿宋_GB2312" w:cs="仿宋_GB2312" w:eastAsia="仿宋_GB2312" w:hAnsi="仿宋_GB2312" w:hint="default"/>
          <w:b w:val="false"/>
          <w:bCs w:val="false"/>
          <w:kern w:val="0"/>
          <w:sz w:val="32"/>
          <w:szCs w:val="32"/>
          <w:lang w:eastAsia="zh-CN"/>
        </w:rPr>
        <w:t>。</w:t>
      </w:r>
    </w:p>
    <w:p w14:paraId="358EFBA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楷体" w:cs="楷体" w:eastAsia="楷体" w:hAnsi="楷体" w:hint="default"/>
          <w:b w:val="false"/>
          <w:bCs w:val="false"/>
          <w:kern w:val="0"/>
          <w:sz w:val="32"/>
          <w:szCs w:val="32"/>
          <w:lang w:eastAsia="zh-CN"/>
        </w:rPr>
        <w:t>（二）支出决算总计 495.98万元。包括：</w:t>
      </w:r>
    </w:p>
    <w:p w14:paraId="11F1E48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1.本年支出决算合计 495.98万元。与上年决算相比，增加 8.12万元，增长 1.67%，变动原因：</w:t>
      </w:r>
      <w:r>
        <w:rPr>
          <w:rFonts w:ascii="仿宋_GB2312" w:cs="仿宋_GB2312" w:eastAsia="仿宋_GB2312" w:hAnsi="仿宋_GB2312" w:hint="eastAsia"/>
          <w:b w:val="false"/>
          <w:bCs w:val="false"/>
          <w:kern w:val="0"/>
          <w:sz w:val="32"/>
          <w:szCs w:val="32"/>
          <w:lang w:eastAsia="zh-CN"/>
        </w:rPr>
        <w:t>人员工资增加，日常公用经费增加</w:t>
      </w:r>
      <w:r>
        <w:rPr>
          <w:rFonts w:ascii="仿宋_GB2312" w:cs="仿宋_GB2312" w:eastAsia="仿宋_GB2312" w:hAnsi="仿宋_GB2312" w:hint="default"/>
          <w:b w:val="false"/>
          <w:bCs w:val="false"/>
          <w:kern w:val="0"/>
          <w:sz w:val="32"/>
          <w:szCs w:val="32"/>
          <w:lang w:eastAsia="zh-CN"/>
        </w:rPr>
        <w:t>。</w:t>
      </w:r>
    </w:p>
    <w:p w14:paraId="4D088C3F">
      <w:pPr>
        <w:pStyle w:val="style62"/>
        <w:rPr>
          <w:rFonts w:ascii="仿宋_GB2312" w:cs="仿宋_GB2312" w:eastAsia="仿宋_GB2312" w:hAnsi="仿宋_GB2312" w:hint="default"/>
          <w:b w:val="false"/>
          <w:bCs w:val="false"/>
          <w:kern w:val="0"/>
          <w:sz w:val="32"/>
          <w:szCs w:val="32"/>
          <w:lang w:eastAsia="zh-CN"/>
        </w:rPr>
      </w:pPr>
      <w:r>
        <w:rPr>
          <w:rFonts w:ascii="仿宋_GB2312" w:cs="仿宋_GB2312" w:hAnsi="仿宋_GB2312" w:hint="eastAsia"/>
          <w:b w:val="false"/>
          <w:bCs w:val="false"/>
          <w:kern w:val="0"/>
          <w:sz w:val="32"/>
          <w:szCs w:val="32"/>
          <w:lang w:val="en-US" w:eastAsia="zh-CN"/>
        </w:rPr>
        <w:t xml:space="preserve">    </w:t>
      </w:r>
      <w:r>
        <w:rPr>
          <w:rFonts w:ascii="仿宋_GB2312" w:cs="仿宋_GB2312" w:eastAsia="仿宋_GB2312" w:hAnsi="仿宋_GB2312" w:hint="default"/>
          <w:b w:val="false"/>
          <w:bCs w:val="false"/>
          <w:kern w:val="0"/>
          <w:sz w:val="32"/>
          <w:szCs w:val="32"/>
          <w:lang w:eastAsia="zh-CN"/>
        </w:rPr>
        <w:t>2.结余分配 0万元。结余分配事项：</w:t>
      </w:r>
      <w:r>
        <w:rPr>
          <w:rFonts w:ascii="仿宋_GB2312" w:cs="仿宋_GB2312" w:eastAsia="仿宋_GB2312" w:hAnsi="仿宋_GB2312" w:hint="eastAsia"/>
          <w:b w:val="false"/>
          <w:bCs w:val="false"/>
          <w:kern w:val="0"/>
          <w:sz w:val="32"/>
          <w:szCs w:val="32"/>
          <w:lang w:eastAsia="zh-CN"/>
        </w:rPr>
        <w:t>无</w:t>
      </w:r>
      <w:r>
        <w:rPr>
          <w:rFonts w:ascii="仿宋_GB2312" w:cs="仿宋_GB2312" w:eastAsia="仿宋_GB2312" w:hAnsi="仿宋_GB2312" w:hint="default"/>
          <w:b w:val="false"/>
          <w:bCs w:val="false"/>
          <w:kern w:val="0"/>
          <w:sz w:val="32"/>
          <w:szCs w:val="32"/>
          <w:lang w:eastAsia="zh-CN"/>
        </w:rPr>
        <w:t>。与上年决算相比，增加 0万元，增长 0%，变动原因：</w:t>
      </w:r>
      <w:r>
        <w:rPr>
          <w:rFonts w:ascii="仿宋_GB2312" w:cs="仿宋_GB2312" w:eastAsia="仿宋_GB2312" w:hAnsi="仿宋_GB2312" w:hint="eastAsia"/>
          <w:b w:val="false"/>
          <w:bCs w:val="false"/>
          <w:kern w:val="0"/>
          <w:sz w:val="32"/>
          <w:szCs w:val="32"/>
          <w:lang w:eastAsia="zh-CN"/>
        </w:rPr>
        <w:t>我单位不存在此项内容</w:t>
      </w:r>
      <w:r>
        <w:rPr>
          <w:rFonts w:ascii="仿宋_GB2312" w:cs="仿宋_GB2312" w:eastAsia="仿宋_GB2312" w:hAnsi="仿宋_GB2312" w:hint="default"/>
          <w:b w:val="false"/>
          <w:bCs w:val="false"/>
          <w:kern w:val="0"/>
          <w:sz w:val="32"/>
          <w:szCs w:val="32"/>
          <w:lang w:eastAsia="zh-CN"/>
        </w:rPr>
        <w:t>。</w:t>
      </w:r>
    </w:p>
    <w:p w14:paraId="45E3D51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3.年末结转和结余 0万元。结转和结余事项：</w:t>
      </w:r>
      <w:r>
        <w:rPr>
          <w:rFonts w:ascii="仿宋_GB2312" w:cs="仿宋_GB2312" w:eastAsia="仿宋_GB2312" w:hAnsi="仿宋_GB2312" w:hint="eastAsia"/>
          <w:b w:val="false"/>
          <w:bCs w:val="false"/>
          <w:kern w:val="0"/>
          <w:sz w:val="32"/>
          <w:szCs w:val="32"/>
          <w:lang w:eastAsia="zh-CN"/>
        </w:rPr>
        <w:t>无</w:t>
      </w:r>
      <w:r>
        <w:rPr>
          <w:rFonts w:ascii="仿宋_GB2312" w:cs="仿宋_GB2312" w:eastAsia="仿宋_GB2312" w:hAnsi="仿宋_GB2312" w:hint="default"/>
          <w:b w:val="false"/>
          <w:bCs w:val="false"/>
          <w:kern w:val="0"/>
          <w:sz w:val="32"/>
          <w:szCs w:val="32"/>
          <w:lang w:eastAsia="zh-CN"/>
        </w:rPr>
        <w:t>。与上年决算相比，增加 0万元，增长 0%，变动原因：</w:t>
      </w:r>
      <w:r>
        <w:rPr>
          <w:rFonts w:ascii="仿宋_GB2312" w:cs="仿宋_GB2312" w:eastAsia="仿宋_GB2312" w:hAnsi="仿宋_GB2312" w:hint="eastAsia"/>
          <w:b w:val="false"/>
          <w:bCs w:val="false"/>
          <w:kern w:val="0"/>
          <w:sz w:val="32"/>
          <w:szCs w:val="32"/>
          <w:lang w:eastAsia="zh-CN"/>
        </w:rPr>
        <w:t>我单位不存在此项内容</w:t>
      </w:r>
      <w:r>
        <w:rPr>
          <w:rFonts w:ascii="仿宋_GB2312" w:cs="仿宋_GB2312" w:eastAsia="仿宋_GB2312" w:hAnsi="仿宋_GB2312" w:hint="default"/>
          <w:b w:val="false"/>
          <w:bCs w:val="false"/>
          <w:kern w:val="0"/>
          <w:sz w:val="32"/>
          <w:szCs w:val="32"/>
          <w:lang w:eastAsia="zh-CN"/>
        </w:rPr>
        <w:t>。</w:t>
      </w:r>
    </w:p>
    <w:p w14:paraId="276A4378">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黑体" w:cs="黑体" w:eastAsia="黑体" w:hAnsi="黑体" w:hint="eastAsia"/>
          <w:b w:val="false"/>
          <w:bCs w:val="false"/>
          <w:kern w:val="0"/>
          <w:sz w:val="32"/>
          <w:szCs w:val="32"/>
          <w:lang w:eastAsia="zh-CN"/>
        </w:rPr>
      </w:pPr>
      <w:r>
        <w:rPr>
          <w:rFonts w:ascii="仿宋_GB2312" w:cs="仿宋_GB2312" w:eastAsia="仿宋_GB2312" w:hAnsi="仿宋_GB2312"/>
          <w:color w:val="0e00fe"/>
          <w:kern w:val="0"/>
          <w:sz w:val="27"/>
          <w:szCs w:val="27"/>
          <w:u w:val="none" w:color="auto"/>
        </w:rPr>
        <w:t> </w:t>
      </w:r>
      <w:r>
        <w:rPr>
          <w:rFonts w:ascii="仿宋_GB2312" w:cs="仿宋_GB2312" w:eastAsia="仿宋_GB2312" w:hAnsi="仿宋_GB2312" w:hint="eastAsia"/>
          <w:b w:val="false"/>
          <w:bCs w:val="false"/>
          <w:kern w:val="0"/>
          <w:sz w:val="32"/>
          <w:szCs w:val="32"/>
          <w:lang w:eastAsia="zh-CN"/>
        </w:rPr>
        <w:t xml:space="preserve">     </w:t>
      </w:r>
      <w:r>
        <w:rPr>
          <w:rFonts w:ascii="黑体" w:cs="黑体" w:eastAsia="黑体" w:hAnsi="黑体" w:hint="eastAsia"/>
          <w:b w:val="false"/>
          <w:bCs w:val="false"/>
          <w:kern w:val="0"/>
          <w:sz w:val="32"/>
          <w:szCs w:val="32"/>
          <w:lang w:eastAsia="zh-CN"/>
        </w:rPr>
        <w:t xml:space="preserve"> </w:t>
      </w:r>
      <w:r>
        <w:rPr>
          <w:rFonts w:ascii="黑体" w:cs="黑体" w:eastAsia="黑体" w:hAnsi="黑体" w:hint="eastAsia"/>
          <w:b/>
          <w:bCs/>
          <w:kern w:val="0"/>
          <w:sz w:val="32"/>
          <w:szCs w:val="32"/>
          <w:lang w:eastAsia="zh-CN"/>
        </w:rPr>
        <w:t>二、收入决算情况说明</w:t>
      </w:r>
    </w:p>
    <w:p w14:paraId="38FEB8A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乌海市文化市场综合行政执法局 </w:t>
      </w:r>
      <w:r>
        <w:rPr>
          <w:rFonts w:ascii="仿宋_GB2312" w:cs="仿宋_GB2312" w:eastAsia="仿宋_GB2312" w:hAnsi="仿宋_GB2312" w:hint="default"/>
          <w:b w:val="false"/>
          <w:bCs w:val="false"/>
          <w:kern w:val="0"/>
          <w:sz w:val="32"/>
          <w:szCs w:val="32"/>
          <w:lang w:eastAsia="zh-CN"/>
        </w:rPr>
        <w:t>2024</w:t>
      </w:r>
      <w:r>
        <w:rPr>
          <w:rFonts w:ascii="仿宋_GB2312" w:cs="仿宋_GB2312" w:eastAsia="仿宋_GB2312" w:hAnsi="仿宋_GB2312" w:hint="eastAsia"/>
          <w:b w:val="false"/>
          <w:bCs w:val="false"/>
          <w:kern w:val="0"/>
          <w:sz w:val="32"/>
          <w:szCs w:val="32"/>
          <w:lang w:eastAsia="zh-CN"/>
        </w:rPr>
        <w:t>年度本年收入决算合计 </w:t>
      </w:r>
      <w:r>
        <w:rPr>
          <w:rFonts w:ascii="仿宋_GB2312" w:cs="仿宋_GB2312" w:eastAsia="仿宋_GB2312" w:hAnsi="仿宋_GB2312" w:hint="default"/>
          <w:b w:val="false"/>
          <w:bCs w:val="false"/>
          <w:kern w:val="0"/>
          <w:sz w:val="32"/>
          <w:szCs w:val="32"/>
          <w:lang w:eastAsia="zh-CN"/>
        </w:rPr>
        <w:t>495.98</w:t>
      </w:r>
      <w:r>
        <w:rPr>
          <w:rFonts w:ascii="仿宋_GB2312" w:cs="仿宋_GB2312" w:eastAsia="仿宋_GB2312" w:hAnsi="仿宋_GB2312" w:hint="eastAsia"/>
          <w:b w:val="false"/>
          <w:bCs w:val="false"/>
          <w:kern w:val="0"/>
          <w:sz w:val="32"/>
          <w:szCs w:val="32"/>
          <w:lang w:eastAsia="zh-CN"/>
        </w:rPr>
        <w:t>万元，其中：</w:t>
      </w:r>
    </w:p>
    <w:p w14:paraId="133393C8">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w:t>
      </w:r>
      <w:r>
        <w:rPr>
          <w:rFonts w:ascii="仿宋_GB2312" w:cs="仿宋_GB2312" w:eastAsia="仿宋_GB2312" w:hAnsi="仿宋_GB2312" w:hint="eastAsia"/>
          <w:b w:val="false"/>
          <w:bCs w:val="false"/>
          <w:kern w:val="0"/>
          <w:sz w:val="32"/>
          <w:szCs w:val="32"/>
          <w:lang w:val="en-US" w:eastAsia="zh-CN"/>
        </w:rPr>
        <w:t xml:space="preserve">  </w:t>
      </w:r>
      <w:r>
        <w:rPr>
          <w:rFonts w:ascii="仿宋_GB2312" w:cs="仿宋_GB2312" w:eastAsia="仿宋_GB2312" w:hAnsi="仿宋_GB2312" w:hint="eastAsia"/>
          <w:b w:val="false"/>
          <w:bCs w:val="false"/>
          <w:kern w:val="0"/>
          <w:sz w:val="32"/>
          <w:szCs w:val="32"/>
          <w:lang w:eastAsia="zh-CN"/>
        </w:rPr>
        <w:t>本年一般公共预算财政拨款收入</w:t>
      </w:r>
      <w:r>
        <w:rPr>
          <w:rFonts w:ascii="仿宋_GB2312" w:cs="仿宋_GB2312" w:eastAsia="仿宋_GB2312" w:hAnsi="仿宋_GB2312" w:hint="default"/>
          <w:b w:val="false"/>
          <w:bCs w:val="false"/>
          <w:kern w:val="0"/>
          <w:sz w:val="32"/>
          <w:szCs w:val="32"/>
          <w:lang w:eastAsia="zh-CN"/>
        </w:rPr>
        <w:t> 495.9</w:t>
      </w:r>
      <w:r>
        <w:rPr>
          <w:rFonts w:ascii="仿宋_GB2312" w:cs="仿宋_GB2312" w:eastAsia="仿宋_GB2312" w:hAnsi="仿宋_GB2312" w:hint="eastAsia"/>
          <w:b w:val="false"/>
          <w:bCs w:val="false"/>
          <w:kern w:val="0"/>
          <w:sz w:val="32"/>
          <w:szCs w:val="32"/>
          <w:lang w:eastAsia="zh-CN"/>
        </w:rPr>
        <w:t>8万元，占</w:t>
      </w:r>
      <w:r>
        <w:rPr>
          <w:rFonts w:ascii="仿宋_GB2312" w:cs="仿宋_GB2312" w:eastAsia="仿宋_GB2312" w:hAnsi="仿宋_GB2312" w:hint="default"/>
          <w:b w:val="false"/>
          <w:bCs w:val="false"/>
          <w:kern w:val="0"/>
          <w:sz w:val="32"/>
          <w:szCs w:val="32"/>
          <w:lang w:eastAsia="zh-CN"/>
        </w:rPr>
        <w:t> 100.00</w:t>
      </w:r>
      <w:r>
        <w:rPr>
          <w:rFonts w:ascii="仿宋_GB2312" w:cs="仿宋_GB2312" w:eastAsia="仿宋_GB2312" w:hAnsi="仿宋_GB2312" w:hint="eastAsia"/>
          <w:b w:val="false"/>
          <w:bCs w:val="false"/>
          <w:kern w:val="0"/>
          <w:sz w:val="32"/>
          <w:szCs w:val="32"/>
          <w:lang w:eastAsia="zh-CN"/>
        </w:rPr>
        <w:t>%；</w:t>
      </w:r>
    </w:p>
    <w:p w14:paraId="4E629E67">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本年政府性基金预算财政拨款收入</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476E1B24">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本年国有资本经营预算财政拨款收入</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7179DE3D">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本年上级补助收入</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05249704">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本年事业收入</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45ACCBC9">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本年经营收入</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549A827C">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本年附属单位上缴收入</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341D8F2E">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本年其他收入</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6E266B4C">
      <w:pPr>
        <w:pStyle w:val="style0"/>
        <w:keepNext w:val="false"/>
        <w:keepLines w:val="false"/>
        <w:pageBreakBefore w:val="false"/>
        <w:widowControl/>
        <w:kinsoku/>
        <w:wordWrap/>
        <w:overflowPunct/>
        <w:topLinePunct w:val="false"/>
        <w:autoSpaceDE/>
        <w:autoSpaceDN/>
        <w:bidi w:val="false"/>
        <w:adjustRightInd/>
        <w:snapToGrid/>
        <w:spacing w:lineRule="exact" w:line="6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w:t>
      </w:r>
    </w:p>
    <w:p w14:paraId="396E94A0">
      <w:pPr>
        <w:pStyle w:val="style0"/>
        <w:widowControl/>
        <w:spacing w:before="240" w:after="240"/>
        <w:jc w:val="center"/>
        <w:rPr>
          <w:rFonts w:ascii="Times New Roman" w:cs="Times New Roman" w:eastAsia="Times New Roman" w:hAnsi="Times New Roman"/>
          <w:kern w:val="0"/>
          <w:sz w:val="24"/>
        </w:rPr>
      </w:pPr>
      <w:r>
        <w:rPr>
          <w:rFonts w:ascii="Times New Roman" w:cs="Times New Roman" w:eastAsia="Times New Roman" w:hAnsi="Times New Roman"/>
          <w:kern w:val="0"/>
          <w:sz w:val="24"/>
          <w:u w:val="none"/>
        </w:rPr>
        <w:drawing>
          <wp:inline distL="0" distT="0" distB="0" distR="0">
            <wp:extent cx="6233160" cy="4006850"/>
            <wp:effectExtent l="0" t="0" r="15240" b="12700"/>
            <wp:docPr id="1026" name="图片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3" cstate="print"/>
                    <a:srcRect l="0" t="0" r="0" b="0"/>
                    <a:stretch/>
                  </pic:blipFill>
                  <pic:spPr>
                    <a:xfrm rot="0">
                      <a:off x="0" y="0"/>
                      <a:ext cx="6233160" cy="4006850"/>
                    </a:xfrm>
                    <a:prstGeom prst="rect"/>
                    <a:ln>
                      <a:noFill/>
                    </a:ln>
                  </pic:spPr>
                </pic:pic>
              </a:graphicData>
            </a:graphic>
          </wp:inline>
        </w:drawing>
      </w:r>
      <w:r>
        <w:rPr>
          <w:rFonts w:ascii="Times New Roman" w:cs="Times New Roman" w:eastAsia="Times New Roman" w:hAnsi="Times New Roman"/>
          <w:kern w:val="0"/>
          <w:sz w:val="24"/>
        </w:rPr>
        <w:t xml:space="preserve">  </w:t>
      </w:r>
    </w:p>
    <w:p w14:paraId="44C59C0A">
      <w:pPr>
        <w:pStyle w:val="style0"/>
        <w:widowControl/>
        <w:spacing w:before="240" w:after="240"/>
        <w:jc w:val="center"/>
        <w:rPr>
          <w:rFonts w:ascii="Times New Roman" w:cs="Times New Roman" w:eastAsia="Times New Roman" w:hAnsi="Times New Roman"/>
          <w:kern w:val="0"/>
          <w:sz w:val="24"/>
        </w:rPr>
      </w:pPr>
      <w:r>
        <w:rPr>
          <w:rFonts w:ascii="仿宋_GB2312" w:cs="仿宋_GB2312" w:eastAsia="仿宋_GB2312" w:hAnsi="仿宋_GB2312"/>
          <w:kern w:val="0"/>
          <w:sz w:val="27"/>
          <w:szCs w:val="27"/>
        </w:rPr>
        <w:t>图</w:t>
      </w:r>
      <w:r>
        <w:rPr>
          <w:rFonts w:ascii="Times New Roman" w:cs="Times New Roman" w:eastAsia="times_new_roman" w:hAnsi="Times New Roman" w:hint="default"/>
          <w:kern w:val="0"/>
          <w:sz w:val="27"/>
          <w:szCs w:val="27"/>
        </w:rPr>
        <w:t>1</w:t>
      </w:r>
      <w:r>
        <w:rPr>
          <w:rFonts w:ascii="仿宋_GB2312" w:cs="仿宋_GB2312" w:eastAsia="仿宋_GB2312" w:hAnsi="仿宋_GB2312"/>
          <w:kern w:val="0"/>
          <w:sz w:val="27"/>
          <w:szCs w:val="27"/>
        </w:rPr>
        <w:t>.收入决算图</w:t>
      </w:r>
    </w:p>
    <w:p w14:paraId="52077C9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eastAsia="zh-CN"/>
        </w:rPr>
      </w:pPr>
      <w:r>
        <w:rPr>
          <w:rFonts w:ascii="黑体" w:cs="黑体" w:eastAsia="黑体" w:hAnsi="黑体" w:hint="eastAsia"/>
          <w:b/>
          <w:bCs/>
          <w:kern w:val="0"/>
          <w:sz w:val="32"/>
          <w:szCs w:val="32"/>
          <w:lang w:eastAsia="zh-CN"/>
        </w:rPr>
        <w:t>三、支出决算情况说明</w:t>
      </w:r>
    </w:p>
    <w:p w14:paraId="012C5E5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乌海市文化市场综合行政执法局 2024年度本年支出决算合计</w:t>
      </w:r>
      <w:r>
        <w:rPr>
          <w:rFonts w:ascii="仿宋_GB2312" w:cs="仿宋_GB2312" w:eastAsia="仿宋_GB2312" w:hAnsi="仿宋_GB2312" w:hint="default"/>
          <w:b w:val="false"/>
          <w:bCs w:val="false"/>
          <w:kern w:val="0"/>
          <w:sz w:val="32"/>
          <w:szCs w:val="32"/>
          <w:lang w:eastAsia="zh-CN"/>
        </w:rPr>
        <w:t> 495.98</w:t>
      </w:r>
      <w:r>
        <w:rPr>
          <w:rFonts w:ascii="仿宋_GB2312" w:cs="仿宋_GB2312" w:eastAsia="仿宋_GB2312" w:hAnsi="仿宋_GB2312" w:hint="eastAsia"/>
          <w:b w:val="false"/>
          <w:bCs w:val="false"/>
          <w:kern w:val="0"/>
          <w:sz w:val="32"/>
          <w:szCs w:val="32"/>
          <w:lang w:eastAsia="zh-CN"/>
        </w:rPr>
        <w:t>万元，其中：</w:t>
      </w:r>
    </w:p>
    <w:p w14:paraId="3AB6129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本年基本支出</w:t>
      </w:r>
      <w:r>
        <w:rPr>
          <w:rFonts w:ascii="仿宋_GB2312" w:cs="仿宋_GB2312" w:eastAsia="仿宋_GB2312" w:hAnsi="仿宋_GB2312" w:hint="default"/>
          <w:b w:val="false"/>
          <w:bCs w:val="false"/>
          <w:kern w:val="0"/>
          <w:sz w:val="32"/>
          <w:szCs w:val="32"/>
          <w:lang w:eastAsia="zh-CN"/>
        </w:rPr>
        <w:t> 466.18</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93.99</w:t>
      </w:r>
      <w:r>
        <w:rPr>
          <w:rFonts w:ascii="仿宋_GB2312" w:cs="仿宋_GB2312" w:eastAsia="仿宋_GB2312" w:hAnsi="仿宋_GB2312" w:hint="eastAsia"/>
          <w:b w:val="false"/>
          <w:bCs w:val="false"/>
          <w:kern w:val="0"/>
          <w:sz w:val="32"/>
          <w:szCs w:val="32"/>
          <w:lang w:eastAsia="zh-CN"/>
        </w:rPr>
        <w:t>%；</w:t>
      </w:r>
    </w:p>
    <w:p w14:paraId="6B076B5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本年项目支出</w:t>
      </w:r>
      <w:r>
        <w:rPr>
          <w:rFonts w:ascii="仿宋_GB2312" w:cs="仿宋_GB2312" w:eastAsia="仿宋_GB2312" w:hAnsi="仿宋_GB2312" w:hint="default"/>
          <w:b w:val="false"/>
          <w:bCs w:val="false"/>
          <w:kern w:val="0"/>
          <w:sz w:val="32"/>
          <w:szCs w:val="32"/>
          <w:lang w:eastAsia="zh-CN"/>
        </w:rPr>
        <w:t> 29.80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6.01</w:t>
      </w:r>
      <w:r>
        <w:rPr>
          <w:rFonts w:ascii="仿宋_GB2312" w:cs="仿宋_GB2312" w:eastAsia="仿宋_GB2312" w:hAnsi="仿宋_GB2312" w:hint="eastAsia"/>
          <w:b w:val="false"/>
          <w:bCs w:val="false"/>
          <w:kern w:val="0"/>
          <w:sz w:val="32"/>
          <w:szCs w:val="32"/>
          <w:lang w:eastAsia="zh-CN"/>
        </w:rPr>
        <w:t>%；</w:t>
      </w:r>
    </w:p>
    <w:p w14:paraId="3A755A8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本年上缴上级支出</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66F1F24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本年经营支出</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34179A3E">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本年对附属单位补助支出</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万元，占</w:t>
      </w:r>
      <w:r>
        <w:rPr>
          <w:rFonts w:ascii="仿宋_GB2312" w:cs="仿宋_GB2312" w:eastAsia="仿宋_GB2312" w:hAnsi="仿宋_GB2312" w:hint="default"/>
          <w:b w:val="false"/>
          <w:bCs w:val="false"/>
          <w:kern w:val="0"/>
          <w:sz w:val="32"/>
          <w:szCs w:val="32"/>
          <w:lang w:eastAsia="zh-CN"/>
        </w:rPr>
        <w:t> 0</w:t>
      </w:r>
      <w:r>
        <w:rPr>
          <w:rFonts w:ascii="仿宋_GB2312" w:cs="仿宋_GB2312" w:eastAsia="仿宋_GB2312" w:hAnsi="仿宋_GB2312" w:hint="eastAsia"/>
          <w:b w:val="false"/>
          <w:bCs w:val="false"/>
          <w:kern w:val="0"/>
          <w:sz w:val="32"/>
          <w:szCs w:val="32"/>
          <w:lang w:eastAsia="zh-CN"/>
        </w:rPr>
        <w:t>%。</w:t>
      </w:r>
    </w:p>
    <w:p w14:paraId="0001C791">
      <w:pPr>
        <w:pStyle w:val="style0"/>
        <w:widowControl/>
        <w:spacing w:before="240" w:after="240"/>
        <w:rPr>
          <w:rFonts w:ascii="Times New Roman" w:cs="Times New Roman" w:eastAsia="Times New Roman" w:hAnsi="Times New Roman"/>
          <w:kern w:val="0"/>
          <w:sz w:val="24"/>
        </w:rPr>
      </w:pPr>
      <w:r>
        <w:rPr>
          <w:rFonts w:ascii="仿宋_GB2312" w:cs="仿宋_GB2312" w:eastAsia="仿宋_GB2312" w:hAnsi="仿宋_GB2312"/>
          <w:color w:val="0e00fe"/>
          <w:kern w:val="0"/>
          <w:sz w:val="27"/>
          <w:szCs w:val="27"/>
        </w:rPr>
        <w:t>   </w:t>
      </w:r>
    </w:p>
    <w:p w14:paraId="51E05DA8">
      <w:pPr>
        <w:pStyle w:val="style0"/>
        <w:widowControl/>
        <w:spacing w:before="240" w:after="240"/>
        <w:jc w:val="center"/>
        <w:rPr>
          <w:rFonts w:ascii="Times New Roman" w:cs="Times New Roman" w:eastAsia="Times New Roman" w:hAnsi="Times New Roman"/>
          <w:kern w:val="0"/>
          <w:sz w:val="24"/>
        </w:rPr>
      </w:pPr>
      <w:r>
        <w:rPr>
          <w:rFonts w:ascii="Times New Roman" w:cs="Times New Roman" w:eastAsia="Times New Roman" w:hAnsi="Times New Roman"/>
          <w:kern w:val="0"/>
          <w:sz w:val="24"/>
          <w:u w:val="none"/>
        </w:rPr>
        <w:drawing>
          <wp:inline distL="0" distT="0" distB="0" distR="0">
            <wp:extent cx="6483350" cy="4148455"/>
            <wp:effectExtent l="0" t="0" r="12700" b="4445"/>
            <wp:docPr id="1027" name="图片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图片 2"/>
                    <pic:cNvPicPr/>
                  </pic:nvPicPr>
                  <pic:blipFill>
                    <a:blip r:embed="rId4" cstate="print"/>
                    <a:srcRect l="0" t="0" r="0" b="0"/>
                    <a:stretch/>
                  </pic:blipFill>
                  <pic:spPr>
                    <a:xfrm rot="0">
                      <a:off x="0" y="0"/>
                      <a:ext cx="6483350" cy="4148455"/>
                    </a:xfrm>
                    <a:prstGeom prst="rect"/>
                    <a:ln>
                      <a:noFill/>
                    </a:ln>
                  </pic:spPr>
                </pic:pic>
              </a:graphicData>
            </a:graphic>
          </wp:inline>
        </w:drawing>
      </w:r>
      <w:r>
        <w:rPr>
          <w:rFonts w:ascii="Times New Roman" w:cs="Times New Roman" w:eastAsia="Times New Roman" w:hAnsi="Times New Roman"/>
          <w:kern w:val="0"/>
          <w:sz w:val="24"/>
        </w:rPr>
        <w:t xml:space="preserve">  </w:t>
      </w:r>
    </w:p>
    <w:p w14:paraId="78C3D5D5">
      <w:pPr>
        <w:pStyle w:val="style0"/>
        <w:widowControl/>
        <w:spacing w:before="240" w:after="240"/>
        <w:jc w:val="center"/>
        <w:rPr>
          <w:rFonts w:ascii="Times New Roman" w:cs="Times New Roman" w:eastAsia="Times New Roman" w:hAnsi="Times New Roman"/>
          <w:kern w:val="0"/>
          <w:sz w:val="24"/>
        </w:rPr>
      </w:pPr>
      <w:r>
        <w:rPr>
          <w:rFonts w:ascii="仿宋_GB2312" w:cs="仿宋_GB2312" w:eastAsia="仿宋_GB2312" w:hAnsi="仿宋_GB2312"/>
          <w:kern w:val="0"/>
          <w:sz w:val="27"/>
          <w:szCs w:val="27"/>
        </w:rPr>
        <w:t>图2.支出决算图</w:t>
      </w:r>
    </w:p>
    <w:p w14:paraId="74686CD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eastAsia"/>
          <w:b w:val="false"/>
          <w:bCs w:val="false"/>
          <w:kern w:val="0"/>
          <w:sz w:val="32"/>
          <w:szCs w:val="32"/>
          <w:lang w:eastAsia="zh-CN"/>
        </w:rPr>
      </w:pPr>
      <w:r>
        <w:rPr>
          <w:rFonts w:ascii="黑体" w:cs="黑体" w:eastAsia="黑体" w:hAnsi="黑体" w:hint="eastAsia"/>
          <w:b/>
          <w:bCs/>
          <w:kern w:val="0"/>
          <w:sz w:val="32"/>
          <w:szCs w:val="32"/>
          <w:lang w:eastAsia="zh-CN"/>
        </w:rPr>
        <w:t>四、财政拨款收入支出决算总体情况说明</w:t>
      </w:r>
    </w:p>
    <w:p w14:paraId="2231DD0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乌海市文化市场综合行政执法局</w:t>
      </w:r>
      <w:r>
        <w:rPr>
          <w:rFonts w:ascii="仿宋_GB2312" w:cs="仿宋_GB2312" w:eastAsia="仿宋_GB2312" w:hAnsi="仿宋_GB2312" w:hint="default"/>
          <w:b w:val="false"/>
          <w:bCs w:val="false"/>
          <w:kern w:val="0"/>
          <w:sz w:val="32"/>
          <w:szCs w:val="32"/>
          <w:lang w:eastAsia="zh-CN"/>
        </w:rPr>
        <w:t> 2024</w:t>
      </w:r>
      <w:r>
        <w:rPr>
          <w:rFonts w:ascii="仿宋_GB2312" w:cs="仿宋_GB2312" w:eastAsia="仿宋_GB2312" w:hAnsi="仿宋_GB2312" w:hint="eastAsia"/>
          <w:b w:val="false"/>
          <w:bCs w:val="false"/>
          <w:kern w:val="0"/>
          <w:sz w:val="32"/>
          <w:szCs w:val="32"/>
          <w:lang w:eastAsia="zh-CN"/>
        </w:rPr>
        <w:t>年度财政拨款收入、支出决算总计均为</w:t>
      </w:r>
      <w:r>
        <w:rPr>
          <w:rFonts w:ascii="仿宋_GB2312" w:cs="仿宋_GB2312" w:eastAsia="仿宋_GB2312" w:hAnsi="仿宋_GB2312" w:hint="default"/>
          <w:b w:val="false"/>
          <w:bCs w:val="false"/>
          <w:kern w:val="0"/>
          <w:sz w:val="32"/>
          <w:szCs w:val="32"/>
          <w:lang w:eastAsia="zh-CN"/>
        </w:rPr>
        <w:t> 495.98</w:t>
      </w:r>
      <w:r>
        <w:rPr>
          <w:rFonts w:ascii="仿宋_GB2312" w:cs="仿宋_GB2312" w:eastAsia="仿宋_GB2312" w:hAnsi="仿宋_GB2312" w:hint="eastAsia"/>
          <w:b w:val="false"/>
          <w:bCs w:val="false"/>
          <w:kern w:val="0"/>
          <w:sz w:val="32"/>
          <w:szCs w:val="32"/>
          <w:lang w:eastAsia="zh-CN"/>
        </w:rPr>
        <w:t>万元，与年初预算相比，收、支总计各增加</w:t>
      </w:r>
      <w:r>
        <w:rPr>
          <w:rFonts w:ascii="仿宋_GB2312" w:cs="仿宋_GB2312" w:eastAsia="仿宋_GB2312" w:hAnsi="仿宋_GB2312" w:hint="default"/>
          <w:b w:val="false"/>
          <w:bCs w:val="false"/>
          <w:kern w:val="0"/>
          <w:sz w:val="32"/>
          <w:szCs w:val="32"/>
          <w:lang w:eastAsia="zh-CN"/>
        </w:rPr>
        <w:t> 20.80</w:t>
      </w:r>
      <w:r>
        <w:rPr>
          <w:rFonts w:ascii="仿宋_GB2312" w:cs="仿宋_GB2312" w:eastAsia="仿宋_GB2312" w:hAnsi="仿宋_GB2312" w:hint="eastAsia"/>
          <w:b w:val="false"/>
          <w:bCs w:val="false"/>
          <w:kern w:val="0"/>
          <w:sz w:val="32"/>
          <w:szCs w:val="32"/>
          <w:lang w:eastAsia="zh-CN"/>
        </w:rPr>
        <w:t>万元，增长</w:t>
      </w:r>
      <w:r>
        <w:rPr>
          <w:rFonts w:ascii="仿宋_GB2312" w:cs="仿宋_GB2312" w:eastAsia="仿宋_GB2312" w:hAnsi="仿宋_GB2312" w:hint="default"/>
          <w:b w:val="false"/>
          <w:bCs w:val="false"/>
          <w:kern w:val="0"/>
          <w:sz w:val="32"/>
          <w:szCs w:val="32"/>
          <w:lang w:eastAsia="zh-CN"/>
        </w:rPr>
        <w:t> 4.38</w:t>
      </w:r>
      <w:r>
        <w:rPr>
          <w:rFonts w:ascii="仿宋_GB2312" w:cs="仿宋_GB2312" w:eastAsia="仿宋_GB2312" w:hAnsi="仿宋_GB2312" w:hint="eastAsia"/>
          <w:b w:val="false"/>
          <w:bCs w:val="false"/>
          <w:kern w:val="0"/>
          <w:sz w:val="32"/>
          <w:szCs w:val="32"/>
          <w:lang w:eastAsia="zh-CN"/>
        </w:rPr>
        <w:t>%，变动原因：人员工资增加，日常公用经费增加；与上年决算相比，收、支总计各增加</w:t>
      </w:r>
      <w:r>
        <w:rPr>
          <w:rFonts w:ascii="仿宋_GB2312" w:cs="仿宋_GB2312" w:eastAsia="仿宋_GB2312" w:hAnsi="仿宋_GB2312" w:hint="default"/>
          <w:b w:val="false"/>
          <w:bCs w:val="false"/>
          <w:kern w:val="0"/>
          <w:sz w:val="32"/>
          <w:szCs w:val="32"/>
          <w:lang w:eastAsia="zh-CN"/>
        </w:rPr>
        <w:t> 8.12</w:t>
      </w:r>
      <w:r>
        <w:rPr>
          <w:rFonts w:ascii="仿宋_GB2312" w:cs="仿宋_GB2312" w:eastAsia="仿宋_GB2312" w:hAnsi="仿宋_GB2312" w:hint="eastAsia"/>
          <w:b w:val="false"/>
          <w:bCs w:val="false"/>
          <w:kern w:val="0"/>
          <w:sz w:val="32"/>
          <w:szCs w:val="32"/>
          <w:lang w:eastAsia="zh-CN"/>
        </w:rPr>
        <w:t>万元，增长</w:t>
      </w:r>
      <w:r>
        <w:rPr>
          <w:rFonts w:ascii="仿宋_GB2312" w:cs="仿宋_GB2312" w:eastAsia="仿宋_GB2312" w:hAnsi="仿宋_GB2312" w:hint="default"/>
          <w:b w:val="false"/>
          <w:bCs w:val="false"/>
          <w:kern w:val="0"/>
          <w:sz w:val="32"/>
          <w:szCs w:val="32"/>
          <w:lang w:eastAsia="zh-CN"/>
        </w:rPr>
        <w:t xml:space="preserve"> 1.67</w:t>
      </w:r>
      <w:r>
        <w:rPr>
          <w:rFonts w:ascii="仿宋_GB2312" w:cs="仿宋_GB2312" w:eastAsia="仿宋_GB2312" w:hAnsi="仿宋_GB2312" w:hint="eastAsia"/>
          <w:b w:val="false"/>
          <w:bCs w:val="false"/>
          <w:kern w:val="0"/>
          <w:sz w:val="32"/>
          <w:szCs w:val="32"/>
          <w:lang w:eastAsia="zh-CN"/>
        </w:rPr>
        <w:t>%，变动原因：人员工资增加，日常公用经费增加。</w:t>
      </w:r>
    </w:p>
    <w:p w14:paraId="63CA68C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val="false"/>
          <w:bCs w:val="false"/>
          <w:kern w:val="0"/>
          <w:sz w:val="32"/>
          <w:szCs w:val="32"/>
          <w:lang w:eastAsia="zh-CN"/>
        </w:rPr>
      </w:pPr>
      <w:r>
        <w:rPr>
          <w:rFonts w:ascii="黑体" w:cs="黑体" w:eastAsia="黑体" w:hAnsi="黑体" w:hint="eastAsia"/>
          <w:b/>
          <w:bCs/>
          <w:kern w:val="0"/>
          <w:sz w:val="32"/>
          <w:szCs w:val="32"/>
          <w:lang w:eastAsia="zh-CN"/>
        </w:rPr>
        <w:t>五、一般公共预算财政拨款支出决算情况说明</w:t>
      </w:r>
    </w:p>
    <w:p w14:paraId="304D1D8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乌海市文化市场综合行政执法局 </w:t>
      </w:r>
      <w:r>
        <w:rPr>
          <w:rFonts w:ascii="仿宋_GB2312" w:cs="仿宋_GB2312" w:eastAsia="仿宋_GB2312" w:hAnsi="仿宋_GB2312" w:hint="default"/>
          <w:b w:val="false"/>
          <w:bCs w:val="false"/>
          <w:kern w:val="0"/>
          <w:sz w:val="32"/>
          <w:szCs w:val="32"/>
          <w:lang w:eastAsia="zh-CN"/>
        </w:rPr>
        <w:t>2024</w:t>
      </w:r>
      <w:r>
        <w:rPr>
          <w:rFonts w:ascii="仿宋_GB2312" w:cs="仿宋_GB2312" w:eastAsia="仿宋_GB2312" w:hAnsi="仿宋_GB2312" w:hint="eastAsia"/>
          <w:b w:val="false"/>
          <w:bCs w:val="false"/>
          <w:kern w:val="0"/>
          <w:sz w:val="32"/>
          <w:szCs w:val="32"/>
          <w:lang w:eastAsia="zh-CN"/>
        </w:rPr>
        <w:t>年度一般公共预算财政拨款支出决算</w:t>
      </w:r>
      <w:r>
        <w:rPr>
          <w:rFonts w:ascii="仿宋_GB2312" w:cs="仿宋_GB2312" w:eastAsia="仿宋_GB2312" w:hAnsi="仿宋_GB2312" w:hint="default"/>
          <w:b w:val="false"/>
          <w:bCs w:val="false"/>
          <w:kern w:val="0"/>
          <w:sz w:val="32"/>
          <w:szCs w:val="32"/>
          <w:lang w:eastAsia="zh-CN"/>
        </w:rPr>
        <w:t> 495.98</w:t>
      </w:r>
      <w:r>
        <w:rPr>
          <w:rFonts w:ascii="仿宋_GB2312" w:cs="仿宋_GB2312" w:eastAsia="仿宋_GB2312" w:hAnsi="仿宋_GB2312" w:hint="eastAsia"/>
          <w:b w:val="false"/>
          <w:bCs w:val="false"/>
          <w:kern w:val="0"/>
          <w:sz w:val="32"/>
          <w:szCs w:val="32"/>
          <w:lang w:eastAsia="zh-CN"/>
        </w:rPr>
        <w:t>万元。与年初预算 475.18万元相比，完成年初预算的 104.38%。其中：</w:t>
      </w:r>
    </w:p>
    <w:p w14:paraId="70F59EA1">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楷体" w:cs="楷体" w:eastAsia="楷体" w:hAnsi="楷体" w:hint="eastAsia"/>
          <w:b w:val="false"/>
          <w:bCs w:val="false"/>
          <w:kern w:val="0"/>
          <w:sz w:val="32"/>
          <w:szCs w:val="32"/>
          <w:lang w:eastAsia="zh-CN"/>
        </w:rPr>
        <w:t>（一）一般公共服务（类）</w:t>
      </w:r>
    </w:p>
    <w:p w14:paraId="0D1EE71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一般公共服务（类）决算数为</w:t>
      </w:r>
      <w:r>
        <w:rPr>
          <w:rFonts w:ascii="仿宋_GB2312" w:cs="仿宋_GB2312" w:eastAsia="仿宋_GB2312" w:hAnsi="仿宋_GB2312" w:hint="default"/>
          <w:b w:val="false"/>
          <w:bCs w:val="false"/>
          <w:kern w:val="0"/>
          <w:sz w:val="32"/>
          <w:szCs w:val="32"/>
          <w:lang w:eastAsia="zh-CN"/>
        </w:rPr>
        <w:t> 5.56</w:t>
      </w:r>
      <w:r>
        <w:rPr>
          <w:rFonts w:ascii="仿宋_GB2312" w:cs="仿宋_GB2312" w:eastAsia="仿宋_GB2312" w:hAnsi="仿宋_GB2312" w:hint="eastAsia"/>
          <w:b w:val="false"/>
          <w:bCs w:val="false"/>
          <w:kern w:val="0"/>
          <w:sz w:val="32"/>
          <w:szCs w:val="32"/>
          <w:lang w:eastAsia="zh-CN"/>
        </w:rPr>
        <w:t>万元，与年初预算相比增加</w:t>
      </w:r>
      <w:r>
        <w:rPr>
          <w:rFonts w:ascii="仿宋_GB2312" w:cs="仿宋_GB2312" w:eastAsia="仿宋_GB2312" w:hAnsi="仿宋_GB2312" w:hint="default"/>
          <w:b w:val="false"/>
          <w:bCs w:val="false"/>
          <w:kern w:val="0"/>
          <w:sz w:val="32"/>
          <w:szCs w:val="32"/>
          <w:lang w:eastAsia="zh-CN"/>
        </w:rPr>
        <w:t xml:space="preserve"> 0</w:t>
      </w:r>
      <w:r>
        <w:rPr>
          <w:rFonts w:ascii="仿宋_GB2312" w:cs="仿宋_GB2312" w:eastAsia="仿宋_GB2312" w:hAnsi="仿宋_GB2312" w:hint="eastAsia"/>
          <w:b w:val="false"/>
          <w:bCs w:val="false"/>
          <w:kern w:val="0"/>
          <w:sz w:val="32"/>
          <w:szCs w:val="32"/>
          <w:lang w:eastAsia="zh-CN"/>
        </w:rPr>
        <w:t>万元。其中：</w:t>
      </w:r>
    </w:p>
    <w:p w14:paraId="0EEE045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1．群众团体事务（款）其他群众团体事务支出（项）。年初预算</w:t>
      </w:r>
      <w:r>
        <w:rPr>
          <w:rFonts w:ascii="仿宋_GB2312" w:cs="仿宋_GB2312" w:eastAsia="仿宋_GB2312" w:hAnsi="仿宋_GB2312" w:hint="default"/>
          <w:b w:val="false"/>
          <w:bCs w:val="false"/>
          <w:kern w:val="0"/>
          <w:sz w:val="32"/>
          <w:szCs w:val="32"/>
          <w:lang w:val="en-US" w:eastAsia="zh-CN"/>
        </w:rPr>
        <w:t>5.56</w:t>
      </w:r>
      <w:r>
        <w:rPr>
          <w:rFonts w:ascii="仿宋_GB2312" w:cs="仿宋_GB2312" w:eastAsia="仿宋_GB2312" w:hAnsi="仿宋_GB2312" w:hint="eastAsia"/>
          <w:b w:val="false"/>
          <w:bCs w:val="false"/>
          <w:kern w:val="0"/>
          <w:sz w:val="32"/>
          <w:szCs w:val="32"/>
          <w:lang w:eastAsia="zh-CN"/>
        </w:rPr>
        <w:t>万元，支出决算</w:t>
      </w:r>
      <w:r>
        <w:rPr>
          <w:rFonts w:ascii="仿宋_GB2312" w:cs="仿宋_GB2312" w:eastAsia="仿宋_GB2312" w:hAnsi="仿宋_GB2312" w:hint="default"/>
          <w:b w:val="false"/>
          <w:bCs w:val="false"/>
          <w:kern w:val="0"/>
          <w:sz w:val="32"/>
          <w:szCs w:val="32"/>
          <w:lang w:val="en-US" w:eastAsia="zh-CN"/>
        </w:rPr>
        <w:t>5.56</w:t>
      </w:r>
      <w:r>
        <w:rPr>
          <w:rFonts w:ascii="仿宋_GB2312" w:cs="仿宋_GB2312" w:eastAsia="仿宋_GB2312" w:hAnsi="仿宋_GB2312" w:hint="eastAsia"/>
          <w:b w:val="false"/>
          <w:bCs w:val="false"/>
          <w:kern w:val="0"/>
          <w:sz w:val="32"/>
          <w:szCs w:val="32"/>
          <w:lang w:eastAsia="zh-CN"/>
        </w:rPr>
        <w:t>万元，完成年初预算的</w:t>
      </w:r>
      <w:r>
        <w:rPr>
          <w:rFonts w:ascii="仿宋_GB2312" w:cs="仿宋_GB2312" w:eastAsia="仿宋_GB2312" w:hAnsi="仿宋_GB2312" w:hint="default"/>
          <w:b w:val="false"/>
          <w:bCs w:val="false"/>
          <w:kern w:val="0"/>
          <w:sz w:val="32"/>
          <w:szCs w:val="32"/>
          <w:lang w:val="en-US" w:eastAsia="zh-CN"/>
        </w:rPr>
        <w:t>100</w:t>
      </w:r>
      <w:r>
        <w:rPr>
          <w:rFonts w:ascii="仿宋_GB2312" w:cs="仿宋_GB2312" w:eastAsia="仿宋_GB2312" w:hAnsi="仿宋_GB2312" w:hint="eastAsia"/>
          <w:b w:val="false"/>
          <w:bCs w:val="false"/>
          <w:kern w:val="0"/>
          <w:sz w:val="32"/>
          <w:szCs w:val="32"/>
          <w:lang w:eastAsia="zh-CN"/>
        </w:rPr>
        <w:t>%。决算数与年初预算数的无差异。</w:t>
      </w:r>
    </w:p>
    <w:p w14:paraId="7BE532C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楷体" w:cs="楷体" w:eastAsia="楷体" w:hAnsi="楷体" w:hint="eastAsia"/>
          <w:b w:val="false"/>
          <w:bCs w:val="false"/>
          <w:kern w:val="0"/>
          <w:sz w:val="32"/>
          <w:szCs w:val="32"/>
          <w:lang w:eastAsia="zh-CN"/>
        </w:rPr>
        <w:t>（二）社会保障和就业支出（类）</w:t>
      </w:r>
    </w:p>
    <w:p w14:paraId="4E22383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社会保障和就业支出（类）决算数为</w:t>
      </w:r>
      <w:r>
        <w:rPr>
          <w:rFonts w:ascii="仿宋_GB2312" w:cs="仿宋_GB2312" w:eastAsia="仿宋_GB2312" w:hAnsi="仿宋_GB2312" w:hint="default"/>
          <w:b w:val="false"/>
          <w:bCs w:val="false"/>
          <w:kern w:val="0"/>
          <w:sz w:val="32"/>
          <w:szCs w:val="32"/>
          <w:lang w:eastAsia="zh-CN"/>
        </w:rPr>
        <w:t> 46.07</w:t>
      </w:r>
      <w:r>
        <w:rPr>
          <w:rFonts w:ascii="仿宋_GB2312" w:cs="仿宋_GB2312" w:eastAsia="仿宋_GB2312" w:hAnsi="仿宋_GB2312" w:hint="eastAsia"/>
          <w:b w:val="false"/>
          <w:bCs w:val="false"/>
          <w:kern w:val="0"/>
          <w:sz w:val="32"/>
          <w:szCs w:val="32"/>
          <w:lang w:eastAsia="zh-CN"/>
        </w:rPr>
        <w:t>万元，与年初预算相比减少</w:t>
      </w:r>
      <w:r>
        <w:rPr>
          <w:rFonts w:ascii="仿宋_GB2312" w:cs="仿宋_GB2312" w:eastAsia="仿宋_GB2312" w:hAnsi="仿宋_GB2312" w:hint="default"/>
          <w:b w:val="false"/>
          <w:bCs w:val="false"/>
          <w:kern w:val="0"/>
          <w:sz w:val="32"/>
          <w:szCs w:val="32"/>
          <w:lang w:eastAsia="zh-CN"/>
        </w:rPr>
        <w:t xml:space="preserve"> 14.95</w:t>
      </w:r>
      <w:r>
        <w:rPr>
          <w:rFonts w:ascii="仿宋_GB2312" w:cs="仿宋_GB2312" w:eastAsia="仿宋_GB2312" w:hAnsi="仿宋_GB2312" w:hint="eastAsia"/>
          <w:b w:val="false"/>
          <w:bCs w:val="false"/>
          <w:kern w:val="0"/>
          <w:sz w:val="32"/>
          <w:szCs w:val="32"/>
          <w:lang w:eastAsia="zh-CN"/>
        </w:rPr>
        <w:t>万元。其中：</w:t>
      </w:r>
    </w:p>
    <w:p w14:paraId="069A7CE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1．</w:t>
      </w:r>
      <w:r>
        <w:rPr>
          <w:rFonts w:ascii="仿宋_GB2312" w:cs="仿宋_GB2312" w:eastAsia="仿宋_GB2312" w:hAnsi="仿宋_GB2312" w:hint="eastAsia"/>
          <w:b w:val="false"/>
          <w:bCs w:val="false"/>
          <w:kern w:val="0"/>
          <w:sz w:val="32"/>
          <w:szCs w:val="32"/>
          <w:lang w:eastAsia="zh-CN"/>
        </w:rPr>
        <w:t>行政事业单位养老支出（款）行政单位离退休（项）。年初预算</w:t>
      </w:r>
      <w:r>
        <w:rPr>
          <w:rFonts w:ascii="仿宋_GB2312" w:cs="仿宋_GB2312" w:eastAsia="仿宋_GB2312" w:hAnsi="仿宋_GB2312" w:hint="eastAsia"/>
          <w:b w:val="false"/>
          <w:bCs w:val="false"/>
          <w:kern w:val="0"/>
          <w:sz w:val="32"/>
          <w:szCs w:val="32"/>
          <w:lang w:val="en-US" w:eastAsia="zh-CN"/>
        </w:rPr>
        <w:t>3.22</w:t>
      </w:r>
      <w:r>
        <w:rPr>
          <w:rFonts w:ascii="仿宋_GB2312" w:cs="仿宋_GB2312" w:eastAsia="仿宋_GB2312" w:hAnsi="仿宋_GB2312" w:hint="eastAsia"/>
          <w:b w:val="false"/>
          <w:bCs w:val="false"/>
          <w:kern w:val="0"/>
          <w:sz w:val="32"/>
          <w:szCs w:val="32"/>
          <w:lang w:eastAsia="zh-CN"/>
        </w:rPr>
        <w:t>万元，支出决算</w:t>
      </w:r>
      <w:r>
        <w:rPr>
          <w:rFonts w:ascii="仿宋_GB2312" w:cs="仿宋_GB2312" w:eastAsia="仿宋_GB2312" w:hAnsi="仿宋_GB2312" w:hint="default"/>
          <w:b w:val="false"/>
          <w:bCs w:val="false"/>
          <w:kern w:val="0"/>
          <w:sz w:val="32"/>
          <w:szCs w:val="32"/>
          <w:lang w:val="en-US" w:eastAsia="zh-CN"/>
        </w:rPr>
        <w:t>3.31</w:t>
      </w:r>
      <w:r>
        <w:rPr>
          <w:rFonts w:ascii="仿宋_GB2312" w:cs="仿宋_GB2312" w:eastAsia="仿宋_GB2312" w:hAnsi="仿宋_GB2312" w:hint="eastAsia"/>
          <w:b w:val="false"/>
          <w:bCs w:val="false"/>
          <w:kern w:val="0"/>
          <w:sz w:val="32"/>
          <w:szCs w:val="32"/>
          <w:lang w:eastAsia="zh-CN"/>
        </w:rPr>
        <w:t>万元，完成年初预算的</w:t>
      </w:r>
      <w:r>
        <w:rPr>
          <w:rFonts w:ascii="仿宋_GB2312" w:cs="仿宋_GB2312" w:eastAsia="仿宋_GB2312" w:hAnsi="仿宋_GB2312" w:hint="eastAsia"/>
          <w:b w:val="false"/>
          <w:bCs w:val="false"/>
          <w:kern w:val="0"/>
          <w:sz w:val="32"/>
          <w:szCs w:val="32"/>
          <w:lang w:val="en-US" w:eastAsia="zh-CN"/>
        </w:rPr>
        <w:t>102.80</w:t>
      </w:r>
      <w:r>
        <w:rPr>
          <w:rFonts w:ascii="仿宋_GB2312" w:cs="仿宋_GB2312" w:eastAsia="仿宋_GB2312" w:hAnsi="仿宋_GB2312" w:hint="eastAsia"/>
          <w:b w:val="false"/>
          <w:bCs w:val="false"/>
          <w:kern w:val="0"/>
          <w:sz w:val="32"/>
          <w:szCs w:val="32"/>
          <w:lang w:eastAsia="zh-CN"/>
        </w:rPr>
        <w:t>%。决算数与年初预算数的差异原因：追加退休人员取暖费、妇女卫生费、绩效奖金。</w:t>
      </w:r>
    </w:p>
    <w:p w14:paraId="3A7458C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 2．行政事业单位养老支出（款）机关事业单位基本养老保险缴费支出（项）。年初预算</w:t>
      </w:r>
      <w:r>
        <w:rPr>
          <w:rFonts w:ascii="仿宋_GB2312" w:cs="仿宋_GB2312" w:eastAsia="仿宋_GB2312" w:hAnsi="仿宋_GB2312" w:hint="default"/>
          <w:b w:val="false"/>
          <w:bCs w:val="false"/>
          <w:kern w:val="0"/>
          <w:sz w:val="32"/>
          <w:szCs w:val="32"/>
          <w:lang w:val="en-US" w:eastAsia="zh-CN"/>
        </w:rPr>
        <w:t>38.53</w:t>
      </w:r>
      <w:r>
        <w:rPr>
          <w:rFonts w:ascii="仿宋_GB2312" w:cs="仿宋_GB2312" w:eastAsia="仿宋_GB2312" w:hAnsi="仿宋_GB2312" w:hint="eastAsia"/>
          <w:b w:val="false"/>
          <w:bCs w:val="false"/>
          <w:kern w:val="0"/>
          <w:sz w:val="32"/>
          <w:szCs w:val="32"/>
          <w:lang w:eastAsia="zh-CN"/>
        </w:rPr>
        <w:t>万元，支出决算</w:t>
      </w:r>
      <w:r>
        <w:rPr>
          <w:rFonts w:ascii="仿宋_GB2312" w:cs="仿宋_GB2312" w:eastAsia="仿宋_GB2312" w:hAnsi="仿宋_GB2312" w:hint="default"/>
          <w:b w:val="false"/>
          <w:bCs w:val="false"/>
          <w:kern w:val="0"/>
          <w:sz w:val="32"/>
          <w:szCs w:val="32"/>
          <w:lang w:val="en-US" w:eastAsia="zh-CN"/>
        </w:rPr>
        <w:t>35.51</w:t>
      </w:r>
      <w:r>
        <w:rPr>
          <w:rFonts w:ascii="仿宋_GB2312" w:cs="仿宋_GB2312" w:eastAsia="仿宋_GB2312" w:hAnsi="仿宋_GB2312" w:hint="eastAsia"/>
          <w:b w:val="false"/>
          <w:bCs w:val="false"/>
          <w:kern w:val="0"/>
          <w:sz w:val="32"/>
          <w:szCs w:val="32"/>
          <w:lang w:eastAsia="zh-CN"/>
        </w:rPr>
        <w:t>万元，完成年初预算的</w:t>
      </w:r>
      <w:r>
        <w:rPr>
          <w:rFonts w:ascii="仿宋_GB2312" w:cs="仿宋_GB2312" w:eastAsia="仿宋_GB2312" w:hAnsi="仿宋_GB2312" w:hint="default"/>
          <w:b w:val="false"/>
          <w:bCs w:val="false"/>
          <w:kern w:val="0"/>
          <w:sz w:val="32"/>
          <w:szCs w:val="32"/>
          <w:lang w:val="en-US" w:eastAsia="zh-CN"/>
        </w:rPr>
        <w:t>92.</w:t>
      </w:r>
      <w:r>
        <w:rPr>
          <w:rFonts w:ascii="仿宋_GB2312" w:cs="仿宋_GB2312" w:eastAsia="仿宋_GB2312" w:hAnsi="仿宋_GB2312" w:hint="eastAsia"/>
          <w:b w:val="false"/>
          <w:bCs w:val="false"/>
          <w:kern w:val="0"/>
          <w:sz w:val="32"/>
          <w:szCs w:val="32"/>
          <w:lang w:val="en-US" w:eastAsia="zh-CN"/>
        </w:rPr>
        <w:t>16</w:t>
      </w:r>
      <w:r>
        <w:rPr>
          <w:rFonts w:ascii="仿宋_GB2312" w:cs="仿宋_GB2312" w:eastAsia="仿宋_GB2312" w:hAnsi="仿宋_GB2312" w:hint="eastAsia"/>
          <w:b w:val="false"/>
          <w:bCs w:val="false"/>
          <w:kern w:val="0"/>
          <w:sz w:val="32"/>
          <w:szCs w:val="32"/>
          <w:lang w:eastAsia="zh-CN"/>
        </w:rPr>
        <w:t>%。决算数与年初预算数的差异原因：按照社保局核定的基数和缴费金额缴纳养老保险和职业年金。</w:t>
      </w:r>
    </w:p>
    <w:p w14:paraId="45D7DF7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val="en-US" w:eastAsia="zh-CN"/>
        </w:rPr>
        <w:t>3</w:t>
      </w:r>
      <w:r>
        <w:rPr>
          <w:rFonts w:ascii="仿宋_GB2312" w:cs="仿宋_GB2312" w:eastAsia="仿宋_GB2312" w:hAnsi="仿宋_GB2312" w:hint="eastAsia"/>
          <w:b w:val="false"/>
          <w:bCs w:val="false"/>
          <w:kern w:val="0"/>
          <w:sz w:val="32"/>
          <w:szCs w:val="32"/>
          <w:lang w:eastAsia="zh-CN"/>
        </w:rPr>
        <w:t>．行政事业单位养老支出（款）机关事业单位职业年金缴费支出（项）。年初预算</w:t>
      </w:r>
      <w:r>
        <w:rPr>
          <w:rFonts w:ascii="仿宋_GB2312" w:cs="仿宋_GB2312" w:eastAsia="仿宋_GB2312" w:hAnsi="仿宋_GB2312" w:hint="default"/>
          <w:b w:val="false"/>
          <w:bCs w:val="false"/>
          <w:kern w:val="0"/>
          <w:sz w:val="32"/>
          <w:szCs w:val="32"/>
          <w:lang w:val="en-US" w:eastAsia="zh-CN"/>
        </w:rPr>
        <w:t>19.27</w:t>
      </w:r>
      <w:r>
        <w:rPr>
          <w:rFonts w:ascii="仿宋_GB2312" w:cs="仿宋_GB2312" w:eastAsia="仿宋_GB2312" w:hAnsi="仿宋_GB2312" w:hint="eastAsia"/>
          <w:b w:val="false"/>
          <w:bCs w:val="false"/>
          <w:kern w:val="0"/>
          <w:sz w:val="32"/>
          <w:szCs w:val="32"/>
          <w:lang w:eastAsia="zh-CN"/>
        </w:rPr>
        <w:t>万元，支出决算</w:t>
      </w:r>
      <w:r>
        <w:rPr>
          <w:rFonts w:ascii="仿宋_GB2312" w:cs="仿宋_GB2312" w:eastAsia="仿宋_GB2312" w:hAnsi="仿宋_GB2312" w:hint="default"/>
          <w:b w:val="false"/>
          <w:bCs w:val="false"/>
          <w:kern w:val="0"/>
          <w:sz w:val="32"/>
          <w:szCs w:val="32"/>
          <w:lang w:val="en-US" w:eastAsia="zh-CN"/>
        </w:rPr>
        <w:t>7.25</w:t>
      </w:r>
      <w:r>
        <w:rPr>
          <w:rFonts w:ascii="仿宋_GB2312" w:cs="仿宋_GB2312" w:eastAsia="仿宋_GB2312" w:hAnsi="仿宋_GB2312" w:hint="eastAsia"/>
          <w:b w:val="false"/>
          <w:bCs w:val="false"/>
          <w:kern w:val="0"/>
          <w:sz w:val="32"/>
          <w:szCs w:val="32"/>
          <w:lang w:eastAsia="zh-CN"/>
        </w:rPr>
        <w:t>万元，完成年初预算的</w:t>
      </w:r>
      <w:r>
        <w:rPr>
          <w:rFonts w:ascii="仿宋_GB2312" w:cs="仿宋_GB2312" w:eastAsia="仿宋_GB2312" w:hAnsi="仿宋_GB2312" w:hint="default"/>
          <w:b w:val="false"/>
          <w:bCs w:val="false"/>
          <w:kern w:val="0"/>
          <w:sz w:val="32"/>
          <w:szCs w:val="32"/>
          <w:lang w:val="en-US" w:eastAsia="zh-CN"/>
        </w:rPr>
        <w:t>37.62</w:t>
      </w:r>
      <w:r>
        <w:rPr>
          <w:rFonts w:ascii="仿宋_GB2312" w:cs="仿宋_GB2312" w:eastAsia="仿宋_GB2312" w:hAnsi="仿宋_GB2312" w:hint="eastAsia"/>
          <w:b w:val="false"/>
          <w:bCs w:val="false"/>
          <w:kern w:val="0"/>
          <w:sz w:val="32"/>
          <w:szCs w:val="32"/>
          <w:lang w:eastAsia="zh-CN"/>
        </w:rPr>
        <w:t>%。决算数与年初预算数的差异原因：按照社保局核定的基数和缴费金额缴纳养老保险和职业年金。</w:t>
      </w:r>
    </w:p>
    <w:p w14:paraId="3A9B1021">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楷体" w:cs="楷体" w:eastAsia="楷体" w:hAnsi="楷体" w:hint="eastAsia"/>
          <w:b w:val="false"/>
          <w:bCs w:val="false"/>
          <w:kern w:val="0"/>
          <w:sz w:val="32"/>
          <w:szCs w:val="32"/>
          <w:lang w:eastAsia="zh-CN"/>
        </w:rPr>
      </w:pPr>
      <w:r>
        <w:rPr>
          <w:rFonts w:ascii="楷体" w:cs="楷体" w:eastAsia="楷体" w:hAnsi="楷体" w:hint="eastAsia"/>
          <w:b w:val="false"/>
          <w:bCs w:val="false"/>
          <w:kern w:val="0"/>
          <w:sz w:val="32"/>
          <w:szCs w:val="32"/>
          <w:lang w:eastAsia="zh-CN"/>
        </w:rPr>
        <w:t>（三）卫生健康支出（类）</w:t>
      </w:r>
    </w:p>
    <w:p w14:paraId="46829F2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卫生健康支出（类）决算数为</w:t>
      </w:r>
      <w:r>
        <w:rPr>
          <w:rFonts w:ascii="仿宋_GB2312" w:cs="仿宋_GB2312" w:eastAsia="仿宋_GB2312" w:hAnsi="仿宋_GB2312" w:hint="default"/>
          <w:b w:val="false"/>
          <w:bCs w:val="false"/>
          <w:kern w:val="0"/>
          <w:sz w:val="32"/>
          <w:szCs w:val="32"/>
          <w:lang w:eastAsia="zh-CN"/>
        </w:rPr>
        <w:t> 19.73</w:t>
      </w:r>
      <w:r>
        <w:rPr>
          <w:rFonts w:ascii="仿宋_GB2312" w:cs="仿宋_GB2312" w:eastAsia="仿宋_GB2312" w:hAnsi="仿宋_GB2312" w:hint="eastAsia"/>
          <w:b w:val="false"/>
          <w:bCs w:val="false"/>
          <w:kern w:val="0"/>
          <w:sz w:val="32"/>
          <w:szCs w:val="32"/>
          <w:lang w:eastAsia="zh-CN"/>
        </w:rPr>
        <w:t>万元，与年初预算相比减少</w:t>
      </w:r>
      <w:r>
        <w:rPr>
          <w:rFonts w:ascii="仿宋_GB2312" w:cs="仿宋_GB2312" w:eastAsia="仿宋_GB2312" w:hAnsi="仿宋_GB2312" w:hint="default"/>
          <w:b w:val="false"/>
          <w:bCs w:val="false"/>
          <w:kern w:val="0"/>
          <w:sz w:val="32"/>
          <w:szCs w:val="32"/>
          <w:lang w:eastAsia="zh-CN"/>
        </w:rPr>
        <w:t xml:space="preserve"> 2.46</w:t>
      </w:r>
      <w:r>
        <w:rPr>
          <w:rFonts w:ascii="仿宋_GB2312" w:cs="仿宋_GB2312" w:eastAsia="仿宋_GB2312" w:hAnsi="仿宋_GB2312" w:hint="eastAsia"/>
          <w:b w:val="false"/>
          <w:bCs w:val="false"/>
          <w:kern w:val="0"/>
          <w:sz w:val="32"/>
          <w:szCs w:val="32"/>
          <w:lang w:eastAsia="zh-CN"/>
        </w:rPr>
        <w:t>万元。其中：</w:t>
      </w:r>
    </w:p>
    <w:p w14:paraId="6799814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1．</w:t>
      </w:r>
      <w:r>
        <w:rPr>
          <w:rFonts w:ascii="仿宋_GB2312" w:cs="仿宋_GB2312" w:eastAsia="仿宋_GB2312" w:hAnsi="仿宋_GB2312" w:hint="eastAsia"/>
          <w:b w:val="false"/>
          <w:bCs w:val="false"/>
          <w:kern w:val="0"/>
          <w:sz w:val="32"/>
          <w:szCs w:val="32"/>
          <w:lang w:eastAsia="zh-CN"/>
        </w:rPr>
        <w:t>行政事业单位医疗（款）行政单位医疗（项）。年初预算</w:t>
      </w:r>
      <w:r>
        <w:rPr>
          <w:rFonts w:ascii="仿宋_GB2312" w:cs="仿宋_GB2312" w:eastAsia="仿宋_GB2312" w:hAnsi="仿宋_GB2312" w:hint="default"/>
          <w:b w:val="false"/>
          <w:bCs w:val="false"/>
          <w:kern w:val="0"/>
          <w:sz w:val="32"/>
          <w:szCs w:val="32"/>
          <w:lang w:val="en-US" w:eastAsia="zh-CN"/>
        </w:rPr>
        <w:t>19.78</w:t>
      </w:r>
      <w:r>
        <w:rPr>
          <w:rFonts w:ascii="仿宋_GB2312" w:cs="仿宋_GB2312" w:eastAsia="仿宋_GB2312" w:hAnsi="仿宋_GB2312" w:hint="eastAsia"/>
          <w:b w:val="false"/>
          <w:bCs w:val="false"/>
          <w:kern w:val="0"/>
          <w:sz w:val="32"/>
          <w:szCs w:val="32"/>
          <w:lang w:eastAsia="zh-CN"/>
        </w:rPr>
        <w:t>万元，支出决算</w:t>
      </w:r>
      <w:r>
        <w:rPr>
          <w:rFonts w:ascii="仿宋_GB2312" w:cs="仿宋_GB2312" w:eastAsia="仿宋_GB2312" w:hAnsi="仿宋_GB2312" w:hint="default"/>
          <w:b w:val="false"/>
          <w:bCs w:val="false"/>
          <w:kern w:val="0"/>
          <w:sz w:val="32"/>
          <w:szCs w:val="32"/>
          <w:lang w:val="en-US" w:eastAsia="zh-CN"/>
        </w:rPr>
        <w:t>17.84</w:t>
      </w:r>
      <w:r>
        <w:rPr>
          <w:rFonts w:ascii="仿宋_GB2312" w:cs="仿宋_GB2312" w:eastAsia="仿宋_GB2312" w:hAnsi="仿宋_GB2312" w:hint="eastAsia"/>
          <w:b w:val="false"/>
          <w:bCs w:val="false"/>
          <w:kern w:val="0"/>
          <w:sz w:val="32"/>
          <w:szCs w:val="32"/>
          <w:lang w:eastAsia="zh-CN"/>
        </w:rPr>
        <w:t>万元，完成年初预算的</w:t>
      </w:r>
      <w:r>
        <w:rPr>
          <w:rFonts w:ascii="仿宋_GB2312" w:cs="仿宋_GB2312" w:eastAsia="仿宋_GB2312" w:hAnsi="仿宋_GB2312" w:hint="default"/>
          <w:b w:val="false"/>
          <w:bCs w:val="false"/>
          <w:kern w:val="0"/>
          <w:sz w:val="32"/>
          <w:szCs w:val="32"/>
          <w:lang w:val="en-US" w:eastAsia="zh-CN"/>
        </w:rPr>
        <w:t>90.20</w:t>
      </w:r>
      <w:r>
        <w:rPr>
          <w:rFonts w:ascii="仿宋_GB2312" w:cs="仿宋_GB2312" w:eastAsia="仿宋_GB2312" w:hAnsi="仿宋_GB2312" w:hint="eastAsia"/>
          <w:b w:val="false"/>
          <w:bCs w:val="false"/>
          <w:kern w:val="0"/>
          <w:sz w:val="32"/>
          <w:szCs w:val="32"/>
          <w:lang w:eastAsia="zh-CN"/>
        </w:rPr>
        <w:t>%。决算数与年初预算数的差异原因：按照医保局核定的基数和缴费金额缴纳医疗保险。</w:t>
      </w:r>
    </w:p>
    <w:p w14:paraId="4F4B9DA5">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2．</w:t>
      </w:r>
      <w:r>
        <w:rPr>
          <w:rFonts w:ascii="仿宋_GB2312" w:cs="仿宋_GB2312" w:eastAsia="仿宋_GB2312" w:hAnsi="仿宋_GB2312" w:hint="eastAsia"/>
          <w:b w:val="false"/>
          <w:bCs w:val="false"/>
          <w:kern w:val="0"/>
          <w:sz w:val="32"/>
          <w:szCs w:val="32"/>
          <w:lang w:eastAsia="zh-CN"/>
        </w:rPr>
        <w:t>行政事业单位医疗（款）事业单位医疗（项）。年初预算</w:t>
      </w:r>
      <w:r>
        <w:rPr>
          <w:rFonts w:ascii="仿宋_GB2312" w:cs="仿宋_GB2312" w:eastAsia="仿宋_GB2312" w:hAnsi="仿宋_GB2312" w:hint="default"/>
          <w:b w:val="false"/>
          <w:bCs w:val="false"/>
          <w:kern w:val="0"/>
          <w:sz w:val="32"/>
          <w:szCs w:val="32"/>
          <w:lang w:val="en-US" w:eastAsia="zh-CN"/>
        </w:rPr>
        <w:t>2.40</w:t>
      </w:r>
      <w:r>
        <w:rPr>
          <w:rFonts w:ascii="仿宋_GB2312" w:cs="仿宋_GB2312" w:eastAsia="仿宋_GB2312" w:hAnsi="仿宋_GB2312" w:hint="eastAsia"/>
          <w:b w:val="false"/>
          <w:bCs w:val="false"/>
          <w:kern w:val="0"/>
          <w:sz w:val="32"/>
          <w:szCs w:val="32"/>
          <w:lang w:eastAsia="zh-CN"/>
        </w:rPr>
        <w:t>万元，支出决算</w:t>
      </w:r>
      <w:r>
        <w:rPr>
          <w:rFonts w:ascii="仿宋_GB2312" w:cs="仿宋_GB2312" w:eastAsia="仿宋_GB2312" w:hAnsi="仿宋_GB2312" w:hint="default"/>
          <w:b w:val="false"/>
          <w:bCs w:val="false"/>
          <w:kern w:val="0"/>
          <w:sz w:val="32"/>
          <w:szCs w:val="32"/>
          <w:lang w:val="en-US" w:eastAsia="zh-CN"/>
        </w:rPr>
        <w:t>1.89</w:t>
      </w:r>
      <w:r>
        <w:rPr>
          <w:rFonts w:ascii="仿宋_GB2312" w:cs="仿宋_GB2312" w:eastAsia="仿宋_GB2312" w:hAnsi="仿宋_GB2312" w:hint="eastAsia"/>
          <w:b w:val="false"/>
          <w:bCs w:val="false"/>
          <w:kern w:val="0"/>
          <w:sz w:val="32"/>
          <w:szCs w:val="32"/>
          <w:lang w:eastAsia="zh-CN"/>
        </w:rPr>
        <w:t>万元，完成年初预算的</w:t>
      </w:r>
      <w:r>
        <w:rPr>
          <w:rFonts w:ascii="仿宋_GB2312" w:cs="仿宋_GB2312" w:eastAsia="仿宋_GB2312" w:hAnsi="仿宋_GB2312" w:hint="default"/>
          <w:b w:val="false"/>
          <w:bCs w:val="false"/>
          <w:kern w:val="0"/>
          <w:sz w:val="32"/>
          <w:szCs w:val="32"/>
          <w:lang w:val="en-US" w:eastAsia="zh-CN"/>
        </w:rPr>
        <w:t>78.75</w:t>
      </w:r>
      <w:r>
        <w:rPr>
          <w:rFonts w:ascii="仿宋_GB2312" w:cs="仿宋_GB2312" w:eastAsia="仿宋_GB2312" w:hAnsi="仿宋_GB2312" w:hint="eastAsia"/>
          <w:b w:val="false"/>
          <w:bCs w:val="false"/>
          <w:kern w:val="0"/>
          <w:sz w:val="32"/>
          <w:szCs w:val="32"/>
          <w:lang w:eastAsia="zh-CN"/>
        </w:rPr>
        <w:t>%。决算数与年初预算数的差异原因：按照医保局核定的基数和缴费金额缴纳医疗保险。</w:t>
      </w:r>
    </w:p>
    <w:p w14:paraId="414E64D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楷体" w:cs="楷体" w:eastAsia="楷体" w:hAnsi="楷体" w:hint="eastAsia"/>
          <w:b w:val="false"/>
          <w:bCs w:val="false"/>
          <w:kern w:val="0"/>
          <w:sz w:val="32"/>
          <w:szCs w:val="32"/>
          <w:lang w:eastAsia="zh-CN"/>
        </w:rPr>
      </w:pPr>
      <w:r>
        <w:rPr>
          <w:rFonts w:ascii="楷体" w:cs="楷体" w:eastAsia="楷体" w:hAnsi="楷体" w:hint="eastAsia"/>
          <w:b w:val="false"/>
          <w:bCs w:val="false"/>
          <w:kern w:val="0"/>
          <w:sz w:val="32"/>
          <w:szCs w:val="32"/>
          <w:lang w:eastAsia="zh-CN"/>
        </w:rPr>
        <w:t>（四）住房保障支出（类）</w:t>
      </w:r>
    </w:p>
    <w:p w14:paraId="6719C717">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住房保障支出（类）决算数为</w:t>
      </w:r>
      <w:r>
        <w:rPr>
          <w:rFonts w:ascii="仿宋_GB2312" w:cs="仿宋_GB2312" w:eastAsia="仿宋_GB2312" w:hAnsi="仿宋_GB2312" w:hint="default"/>
          <w:b w:val="false"/>
          <w:bCs w:val="false"/>
          <w:kern w:val="0"/>
          <w:sz w:val="32"/>
          <w:szCs w:val="32"/>
          <w:lang w:eastAsia="zh-CN"/>
        </w:rPr>
        <w:t> 29.90</w:t>
      </w:r>
      <w:r>
        <w:rPr>
          <w:rFonts w:ascii="仿宋_GB2312" w:cs="仿宋_GB2312" w:eastAsia="仿宋_GB2312" w:hAnsi="仿宋_GB2312" w:hint="eastAsia"/>
          <w:b w:val="false"/>
          <w:bCs w:val="false"/>
          <w:kern w:val="0"/>
          <w:sz w:val="32"/>
          <w:szCs w:val="32"/>
          <w:lang w:eastAsia="zh-CN"/>
        </w:rPr>
        <w:t>万元，与年初预算相比减少</w:t>
      </w:r>
      <w:r>
        <w:rPr>
          <w:rFonts w:ascii="仿宋_GB2312" w:cs="仿宋_GB2312" w:eastAsia="仿宋_GB2312" w:hAnsi="仿宋_GB2312" w:hint="default"/>
          <w:b w:val="false"/>
          <w:bCs w:val="false"/>
          <w:kern w:val="0"/>
          <w:sz w:val="32"/>
          <w:szCs w:val="32"/>
          <w:lang w:eastAsia="zh-CN"/>
        </w:rPr>
        <w:t xml:space="preserve"> 5.60</w:t>
      </w:r>
      <w:r>
        <w:rPr>
          <w:rFonts w:ascii="仿宋_GB2312" w:cs="仿宋_GB2312" w:eastAsia="仿宋_GB2312" w:hAnsi="仿宋_GB2312" w:hint="eastAsia"/>
          <w:b w:val="false"/>
          <w:bCs w:val="false"/>
          <w:kern w:val="0"/>
          <w:sz w:val="32"/>
          <w:szCs w:val="32"/>
          <w:lang w:eastAsia="zh-CN"/>
        </w:rPr>
        <w:t>万元。其中：</w:t>
      </w:r>
    </w:p>
    <w:p w14:paraId="16228EA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eastAsia="zh-CN"/>
        </w:rPr>
      </w:pPr>
      <w:r>
        <w:rPr>
          <w:rFonts w:ascii="仿宋_GB2312" w:cs="仿宋_GB2312" w:eastAsia="仿宋_GB2312" w:hAnsi="仿宋_GB2312" w:hint="eastAsia"/>
          <w:b w:val="false"/>
          <w:bCs w:val="false"/>
          <w:kern w:val="0"/>
          <w:sz w:val="32"/>
          <w:szCs w:val="32"/>
          <w:lang w:eastAsia="zh-CN"/>
        </w:rPr>
        <w:t>住房改革支出（款）住房公积金（项）。年初预算</w:t>
      </w:r>
      <w:r>
        <w:rPr>
          <w:rFonts w:ascii="仿宋_GB2312" w:cs="仿宋_GB2312" w:eastAsia="仿宋_GB2312" w:hAnsi="仿宋_GB2312" w:hint="default"/>
          <w:b w:val="false"/>
          <w:bCs w:val="false"/>
          <w:kern w:val="0"/>
          <w:sz w:val="32"/>
          <w:szCs w:val="32"/>
          <w:lang w:val="en-US" w:eastAsia="zh-CN"/>
        </w:rPr>
        <w:t>35.49</w:t>
      </w:r>
      <w:r>
        <w:rPr>
          <w:rFonts w:ascii="仿宋_GB2312" w:cs="仿宋_GB2312" w:eastAsia="仿宋_GB2312" w:hAnsi="仿宋_GB2312" w:hint="eastAsia"/>
          <w:b w:val="false"/>
          <w:bCs w:val="false"/>
          <w:kern w:val="0"/>
          <w:sz w:val="32"/>
          <w:szCs w:val="32"/>
          <w:lang w:eastAsia="zh-CN"/>
        </w:rPr>
        <w:t>万元，支出决算</w:t>
      </w:r>
      <w:r>
        <w:rPr>
          <w:rFonts w:ascii="仿宋_GB2312" w:cs="仿宋_GB2312" w:eastAsia="仿宋_GB2312" w:hAnsi="仿宋_GB2312" w:hint="default"/>
          <w:b w:val="false"/>
          <w:bCs w:val="false"/>
          <w:kern w:val="0"/>
          <w:sz w:val="32"/>
          <w:szCs w:val="32"/>
          <w:lang w:val="en-US" w:eastAsia="zh-CN"/>
        </w:rPr>
        <w:t>29.90</w:t>
      </w:r>
      <w:r>
        <w:rPr>
          <w:rFonts w:ascii="仿宋_GB2312" w:cs="仿宋_GB2312" w:eastAsia="仿宋_GB2312" w:hAnsi="仿宋_GB2312" w:hint="eastAsia"/>
          <w:b w:val="false"/>
          <w:bCs w:val="false"/>
          <w:kern w:val="0"/>
          <w:sz w:val="32"/>
          <w:szCs w:val="32"/>
          <w:lang w:eastAsia="zh-CN"/>
        </w:rPr>
        <w:t>万元，完成年初预算的</w:t>
      </w:r>
      <w:r>
        <w:rPr>
          <w:rFonts w:ascii="仿宋_GB2312" w:cs="仿宋_GB2312" w:eastAsia="仿宋_GB2312" w:hAnsi="仿宋_GB2312" w:hint="default"/>
          <w:b w:val="false"/>
          <w:bCs w:val="false"/>
          <w:kern w:val="0"/>
          <w:sz w:val="32"/>
          <w:szCs w:val="32"/>
          <w:lang w:val="en-US" w:eastAsia="zh-CN"/>
        </w:rPr>
        <w:t>84.25</w:t>
      </w:r>
      <w:r>
        <w:rPr>
          <w:rFonts w:ascii="仿宋_GB2312" w:cs="仿宋_GB2312" w:eastAsia="仿宋_GB2312" w:hAnsi="仿宋_GB2312" w:hint="eastAsia"/>
          <w:b w:val="false"/>
          <w:bCs w:val="false"/>
          <w:kern w:val="0"/>
          <w:sz w:val="32"/>
          <w:szCs w:val="32"/>
          <w:lang w:eastAsia="zh-CN"/>
        </w:rPr>
        <w:t>%。决算数与年初预算数的差异原因：按照公积金基数和缴费金额缴纳公积金。</w:t>
      </w:r>
    </w:p>
    <w:p w14:paraId="6A0AF915">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eastAsia="zh-CN"/>
        </w:rPr>
      </w:pPr>
      <w:r>
        <w:rPr>
          <w:rFonts w:ascii="黑体" w:cs="黑体" w:eastAsia="黑体" w:hAnsi="黑体" w:hint="eastAsia"/>
          <w:b/>
          <w:bCs/>
          <w:kern w:val="0"/>
          <w:sz w:val="32"/>
          <w:szCs w:val="32"/>
          <w:lang w:eastAsia="zh-CN"/>
        </w:rPr>
        <w:t>六、一般公共预算财政拨款基本支出决算情况说明</w:t>
      </w:r>
    </w:p>
    <w:p w14:paraId="5A15831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仿宋_GB2312" w:cs="仿宋_GB2312" w:eastAsia="仿宋_GB2312" w:hAnsi="仿宋_GB2312" w:hint="default"/>
          <w:b w:val="false"/>
          <w:bCs w:val="false"/>
          <w:kern w:val="0"/>
          <w:sz w:val="32"/>
          <w:szCs w:val="32"/>
          <w:lang w:eastAsia="zh-CN"/>
        </w:rPr>
        <w:t>乌海市文化市场综合行政执法局 2024年度一般公共预算财政拨款基本支出决算 466.18万元，其中：</w:t>
      </w:r>
    </w:p>
    <w:p w14:paraId="01A86D4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楷体" w:cs="楷体" w:eastAsia="楷体" w:hAnsi="楷体" w:hint="eastAsia"/>
          <w:b w:val="false"/>
          <w:bCs w:val="false"/>
          <w:kern w:val="0"/>
          <w:sz w:val="32"/>
          <w:szCs w:val="32"/>
          <w:lang w:eastAsia="zh-CN"/>
        </w:rPr>
        <w:t> （一）人员经费 420.34万元。</w:t>
      </w:r>
      <w:r>
        <w:rPr>
          <w:rFonts w:ascii="仿宋_GB2312" w:cs="仿宋_GB2312" w:eastAsia="仿宋_GB2312" w:hAnsi="仿宋_GB2312" w:hint="default"/>
          <w:b w:val="false"/>
          <w:bCs w:val="false"/>
          <w:kern w:val="0"/>
          <w:sz w:val="32"/>
          <w:szCs w:val="32"/>
          <w:lang w:eastAsia="zh-CN"/>
        </w:rPr>
        <w:t>主要包括：基本工资</w:t>
      </w:r>
      <w:r>
        <w:rPr>
          <w:rFonts w:ascii="仿宋_GB2312" w:cs="仿宋_GB2312" w:eastAsia="仿宋_GB2312" w:hAnsi="仿宋_GB2312" w:hint="eastAsia"/>
          <w:b w:val="false"/>
          <w:bCs w:val="false"/>
          <w:kern w:val="0"/>
          <w:sz w:val="32"/>
          <w:szCs w:val="32"/>
          <w:lang w:val="en-US" w:eastAsia="zh-CN"/>
        </w:rPr>
        <w:t>106.53万元</w:t>
      </w:r>
      <w:r>
        <w:rPr>
          <w:rFonts w:ascii="仿宋_GB2312" w:cs="仿宋_GB2312" w:eastAsia="仿宋_GB2312" w:hAnsi="仿宋_GB2312" w:hint="default"/>
          <w:b w:val="false"/>
          <w:bCs w:val="false"/>
          <w:kern w:val="0"/>
          <w:sz w:val="32"/>
          <w:szCs w:val="32"/>
          <w:lang w:eastAsia="zh-CN"/>
        </w:rPr>
        <w:t>、津贴补贴</w:t>
      </w:r>
      <w:r>
        <w:rPr>
          <w:rFonts w:ascii="仿宋_GB2312" w:cs="仿宋_GB2312" w:eastAsia="仿宋_GB2312" w:hAnsi="仿宋_GB2312" w:hint="eastAsia"/>
          <w:b w:val="false"/>
          <w:bCs w:val="false"/>
          <w:kern w:val="0"/>
          <w:sz w:val="32"/>
          <w:szCs w:val="32"/>
          <w:lang w:val="en-US" w:eastAsia="zh-CN"/>
        </w:rPr>
        <w:t>145.36万元</w:t>
      </w:r>
      <w:r>
        <w:rPr>
          <w:rFonts w:ascii="仿宋_GB2312" w:cs="仿宋_GB2312" w:eastAsia="仿宋_GB2312" w:hAnsi="仿宋_GB2312" w:hint="default"/>
          <w:b w:val="false"/>
          <w:bCs w:val="false"/>
          <w:kern w:val="0"/>
          <w:sz w:val="32"/>
          <w:szCs w:val="32"/>
          <w:lang w:eastAsia="zh-CN"/>
        </w:rPr>
        <w:t>、奖金</w:t>
      </w:r>
      <w:r>
        <w:rPr>
          <w:rFonts w:ascii="仿宋_GB2312" w:cs="仿宋_GB2312" w:eastAsia="仿宋_GB2312" w:hAnsi="仿宋_GB2312" w:hint="eastAsia"/>
          <w:b w:val="false"/>
          <w:bCs w:val="false"/>
          <w:kern w:val="0"/>
          <w:sz w:val="32"/>
          <w:szCs w:val="32"/>
          <w:lang w:val="en-US" w:eastAsia="zh-CN"/>
        </w:rPr>
        <w:t>30.49万元</w:t>
      </w:r>
      <w:r>
        <w:rPr>
          <w:rFonts w:ascii="仿宋_GB2312" w:cs="仿宋_GB2312" w:eastAsia="仿宋_GB2312" w:hAnsi="仿宋_GB2312" w:hint="default"/>
          <w:b w:val="false"/>
          <w:bCs w:val="false"/>
          <w:kern w:val="0"/>
          <w:sz w:val="32"/>
          <w:szCs w:val="32"/>
          <w:lang w:eastAsia="zh-CN"/>
        </w:rPr>
        <w:t>、伙食补助费</w:t>
      </w:r>
      <w:r>
        <w:rPr>
          <w:rFonts w:ascii="仿宋_GB2312" w:cs="仿宋_GB2312" w:eastAsia="仿宋_GB2312" w:hAnsi="仿宋_GB2312" w:hint="eastAsia"/>
          <w:b w:val="false"/>
          <w:bCs w:val="false"/>
          <w:kern w:val="0"/>
          <w:sz w:val="32"/>
          <w:szCs w:val="32"/>
          <w:lang w:val="en-US" w:eastAsia="zh-CN"/>
        </w:rPr>
        <w:t>0.03万元</w:t>
      </w:r>
      <w:r>
        <w:rPr>
          <w:rFonts w:ascii="仿宋_GB2312" w:cs="仿宋_GB2312" w:eastAsia="仿宋_GB2312" w:hAnsi="仿宋_GB2312" w:hint="default"/>
          <w:b w:val="false"/>
          <w:bCs w:val="false"/>
          <w:kern w:val="0"/>
          <w:sz w:val="32"/>
          <w:szCs w:val="32"/>
          <w:lang w:eastAsia="zh-CN"/>
        </w:rPr>
        <w:t>、绩效工资</w:t>
      </w:r>
      <w:r>
        <w:rPr>
          <w:rFonts w:ascii="仿宋_GB2312" w:cs="仿宋_GB2312" w:eastAsia="仿宋_GB2312" w:hAnsi="仿宋_GB2312" w:hint="eastAsia"/>
          <w:b w:val="false"/>
          <w:bCs w:val="false"/>
          <w:kern w:val="0"/>
          <w:sz w:val="32"/>
          <w:szCs w:val="32"/>
          <w:lang w:val="en-US" w:eastAsia="zh-CN"/>
        </w:rPr>
        <w:t>9.94万元</w:t>
      </w:r>
      <w:r>
        <w:rPr>
          <w:rFonts w:ascii="仿宋_GB2312" w:cs="仿宋_GB2312" w:eastAsia="仿宋_GB2312" w:hAnsi="仿宋_GB2312" w:hint="default"/>
          <w:b w:val="false"/>
          <w:bCs w:val="false"/>
          <w:kern w:val="0"/>
          <w:sz w:val="32"/>
          <w:szCs w:val="32"/>
          <w:lang w:eastAsia="zh-CN"/>
        </w:rPr>
        <w:t>、机关事业单位基本养老保险缴费</w:t>
      </w:r>
      <w:r>
        <w:rPr>
          <w:rFonts w:ascii="仿宋_GB2312" w:cs="仿宋_GB2312" w:eastAsia="仿宋_GB2312" w:hAnsi="仿宋_GB2312" w:hint="eastAsia"/>
          <w:b w:val="false"/>
          <w:bCs w:val="false"/>
          <w:kern w:val="0"/>
          <w:sz w:val="32"/>
          <w:szCs w:val="32"/>
          <w:lang w:val="en-US" w:eastAsia="zh-CN"/>
        </w:rPr>
        <w:t>35.51万元</w:t>
      </w:r>
      <w:r>
        <w:rPr>
          <w:rFonts w:ascii="仿宋_GB2312" w:cs="仿宋_GB2312" w:eastAsia="仿宋_GB2312" w:hAnsi="仿宋_GB2312" w:hint="default"/>
          <w:b w:val="false"/>
          <w:bCs w:val="false"/>
          <w:kern w:val="0"/>
          <w:sz w:val="32"/>
          <w:szCs w:val="32"/>
          <w:lang w:eastAsia="zh-CN"/>
        </w:rPr>
        <w:t>、职业年金缴费</w:t>
      </w:r>
      <w:r>
        <w:rPr>
          <w:rFonts w:ascii="仿宋_GB2312" w:cs="仿宋_GB2312" w:eastAsia="仿宋_GB2312" w:hAnsi="仿宋_GB2312" w:hint="eastAsia"/>
          <w:b w:val="false"/>
          <w:bCs w:val="false"/>
          <w:kern w:val="0"/>
          <w:sz w:val="32"/>
          <w:szCs w:val="32"/>
          <w:lang w:val="en-US" w:eastAsia="zh-CN"/>
        </w:rPr>
        <w:t>7.25万元</w:t>
      </w:r>
      <w:r>
        <w:rPr>
          <w:rFonts w:ascii="仿宋_GB2312" w:cs="仿宋_GB2312" w:eastAsia="仿宋_GB2312" w:hAnsi="仿宋_GB2312" w:hint="default"/>
          <w:b w:val="false"/>
          <w:bCs w:val="false"/>
          <w:kern w:val="0"/>
          <w:sz w:val="32"/>
          <w:szCs w:val="32"/>
          <w:lang w:eastAsia="zh-CN"/>
        </w:rPr>
        <w:t>、职工基本医疗保险缴费</w:t>
      </w:r>
      <w:r>
        <w:rPr>
          <w:rFonts w:ascii="仿宋_GB2312" w:cs="仿宋_GB2312" w:eastAsia="仿宋_GB2312" w:hAnsi="仿宋_GB2312" w:hint="eastAsia"/>
          <w:b w:val="false"/>
          <w:bCs w:val="false"/>
          <w:kern w:val="0"/>
          <w:sz w:val="32"/>
          <w:szCs w:val="32"/>
          <w:lang w:val="en-US" w:eastAsia="zh-CN"/>
        </w:rPr>
        <w:t>19.73万元</w:t>
      </w:r>
      <w:r>
        <w:rPr>
          <w:rFonts w:ascii="仿宋_GB2312" w:cs="仿宋_GB2312" w:eastAsia="仿宋_GB2312" w:hAnsi="仿宋_GB2312" w:hint="default"/>
          <w:b w:val="false"/>
          <w:bCs w:val="false"/>
          <w:kern w:val="0"/>
          <w:sz w:val="32"/>
          <w:szCs w:val="32"/>
          <w:lang w:eastAsia="zh-CN"/>
        </w:rPr>
        <w:t>、</w:t>
      </w:r>
      <w:r>
        <w:rPr>
          <w:rFonts w:ascii="仿宋_GB2312" w:cs="仿宋_GB2312" w:eastAsia="仿宋_GB2312" w:hAnsi="仿宋_GB2312" w:hint="eastAsia"/>
          <w:b w:val="false"/>
          <w:bCs w:val="false"/>
          <w:kern w:val="0"/>
          <w:sz w:val="32"/>
          <w:szCs w:val="32"/>
          <w:lang w:eastAsia="zh-CN"/>
        </w:rPr>
        <w:t>其他社会保障缴费</w:t>
      </w:r>
      <w:r>
        <w:rPr>
          <w:rFonts w:ascii="仿宋_GB2312" w:cs="仿宋_GB2312" w:eastAsia="仿宋_GB2312" w:hAnsi="仿宋_GB2312" w:hint="eastAsia"/>
          <w:b w:val="false"/>
          <w:bCs w:val="false"/>
          <w:kern w:val="0"/>
          <w:sz w:val="32"/>
          <w:szCs w:val="32"/>
          <w:lang w:val="en-US" w:eastAsia="zh-CN"/>
        </w:rPr>
        <w:t>4.69万元</w:t>
      </w:r>
      <w:r>
        <w:rPr>
          <w:rFonts w:ascii="仿宋_GB2312" w:cs="仿宋_GB2312" w:eastAsia="仿宋_GB2312" w:hAnsi="仿宋_GB2312" w:hint="eastAsia"/>
          <w:b w:val="false"/>
          <w:bCs w:val="false"/>
          <w:kern w:val="0"/>
          <w:sz w:val="32"/>
          <w:szCs w:val="32"/>
          <w:lang w:eastAsia="zh-CN"/>
        </w:rPr>
        <w:t>、</w:t>
      </w:r>
      <w:r>
        <w:rPr>
          <w:rFonts w:ascii="仿宋_GB2312" w:cs="仿宋_GB2312" w:eastAsia="仿宋_GB2312" w:hAnsi="仿宋_GB2312" w:hint="default"/>
          <w:b w:val="false"/>
          <w:bCs w:val="false"/>
          <w:kern w:val="0"/>
          <w:sz w:val="32"/>
          <w:szCs w:val="32"/>
          <w:lang w:eastAsia="zh-CN"/>
        </w:rPr>
        <w:t>住房公积金</w:t>
      </w:r>
      <w:r>
        <w:rPr>
          <w:rFonts w:ascii="仿宋_GB2312" w:cs="仿宋_GB2312" w:eastAsia="仿宋_GB2312" w:hAnsi="仿宋_GB2312" w:hint="eastAsia"/>
          <w:b w:val="false"/>
          <w:bCs w:val="false"/>
          <w:kern w:val="0"/>
          <w:sz w:val="32"/>
          <w:szCs w:val="32"/>
          <w:lang w:val="en-US" w:eastAsia="zh-CN"/>
        </w:rPr>
        <w:t>29.90万元</w:t>
      </w:r>
      <w:r>
        <w:rPr>
          <w:rFonts w:ascii="仿宋_GB2312" w:cs="仿宋_GB2312" w:eastAsia="仿宋_GB2312" w:hAnsi="仿宋_GB2312" w:hint="default"/>
          <w:b w:val="false"/>
          <w:bCs w:val="false"/>
          <w:kern w:val="0"/>
          <w:sz w:val="32"/>
          <w:szCs w:val="32"/>
          <w:lang w:eastAsia="zh-CN"/>
        </w:rPr>
        <w:t>、退休费</w:t>
      </w:r>
      <w:r>
        <w:rPr>
          <w:rFonts w:ascii="仿宋_GB2312" w:cs="仿宋_GB2312" w:eastAsia="仿宋_GB2312" w:hAnsi="仿宋_GB2312" w:hint="eastAsia"/>
          <w:b w:val="false"/>
          <w:bCs w:val="false"/>
          <w:kern w:val="0"/>
          <w:sz w:val="32"/>
          <w:szCs w:val="32"/>
          <w:lang w:val="en-US" w:eastAsia="zh-CN"/>
        </w:rPr>
        <w:t>3.20万元</w:t>
      </w:r>
      <w:r>
        <w:rPr>
          <w:rFonts w:ascii="仿宋_GB2312" w:cs="仿宋_GB2312" w:eastAsia="仿宋_GB2312" w:hAnsi="仿宋_GB2312" w:hint="default"/>
          <w:b w:val="false"/>
          <w:bCs w:val="false"/>
          <w:kern w:val="0"/>
          <w:sz w:val="32"/>
          <w:szCs w:val="32"/>
          <w:lang w:eastAsia="zh-CN"/>
        </w:rPr>
        <w:t>、抚恤金</w:t>
      </w:r>
      <w:r>
        <w:rPr>
          <w:rFonts w:ascii="仿宋_GB2312" w:cs="仿宋_GB2312" w:eastAsia="仿宋_GB2312" w:hAnsi="仿宋_GB2312" w:hint="eastAsia"/>
          <w:b w:val="false"/>
          <w:bCs w:val="false"/>
          <w:kern w:val="0"/>
          <w:sz w:val="32"/>
          <w:szCs w:val="32"/>
          <w:lang w:val="en-US" w:eastAsia="zh-CN"/>
        </w:rPr>
        <w:t>27.72万元</w:t>
      </w:r>
      <w:r>
        <w:rPr>
          <w:rFonts w:ascii="仿宋_GB2312" w:cs="仿宋_GB2312" w:eastAsia="仿宋_GB2312" w:hAnsi="仿宋_GB2312" w:hint="default"/>
          <w:b w:val="false"/>
          <w:bCs w:val="false"/>
          <w:kern w:val="0"/>
          <w:sz w:val="32"/>
          <w:szCs w:val="32"/>
          <w:lang w:eastAsia="zh-CN"/>
        </w:rPr>
        <w:t>。</w:t>
      </w:r>
    </w:p>
    <w:p w14:paraId="788C33A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eastAsia="zh-CN"/>
        </w:rPr>
      </w:pPr>
      <w:r>
        <w:rPr>
          <w:rFonts w:ascii="楷体" w:cs="楷体" w:eastAsia="楷体" w:hAnsi="楷体" w:hint="eastAsia"/>
          <w:b w:val="false"/>
          <w:bCs w:val="false"/>
          <w:kern w:val="0"/>
          <w:sz w:val="32"/>
          <w:szCs w:val="32"/>
          <w:lang w:eastAsia="zh-CN"/>
        </w:rPr>
        <w:t>（二）公用经费 45.84万元。</w:t>
      </w:r>
      <w:r>
        <w:rPr>
          <w:rFonts w:ascii="仿宋_GB2312" w:cs="仿宋_GB2312" w:eastAsia="仿宋_GB2312" w:hAnsi="仿宋_GB2312" w:hint="default"/>
          <w:b w:val="false"/>
          <w:bCs w:val="false"/>
          <w:kern w:val="0"/>
          <w:sz w:val="32"/>
          <w:szCs w:val="32"/>
          <w:lang w:eastAsia="zh-CN"/>
        </w:rPr>
        <w:t>主要包括：办公费</w:t>
      </w:r>
      <w:r>
        <w:rPr>
          <w:rFonts w:ascii="仿宋_GB2312" w:cs="仿宋_GB2312" w:eastAsia="仿宋_GB2312" w:hAnsi="仿宋_GB2312" w:hint="eastAsia"/>
          <w:b w:val="false"/>
          <w:bCs w:val="false"/>
          <w:kern w:val="0"/>
          <w:sz w:val="32"/>
          <w:szCs w:val="32"/>
          <w:lang w:val="en-US" w:eastAsia="zh-CN"/>
        </w:rPr>
        <w:t>2.73万元</w:t>
      </w:r>
      <w:r>
        <w:rPr>
          <w:rFonts w:ascii="仿宋_GB2312" w:cs="仿宋_GB2312" w:eastAsia="仿宋_GB2312" w:hAnsi="仿宋_GB2312" w:hint="default"/>
          <w:b w:val="false"/>
          <w:bCs w:val="false"/>
          <w:kern w:val="0"/>
          <w:sz w:val="32"/>
          <w:szCs w:val="32"/>
          <w:lang w:eastAsia="zh-CN"/>
        </w:rPr>
        <w:t>、印刷费</w:t>
      </w:r>
      <w:r>
        <w:rPr>
          <w:rFonts w:ascii="仿宋_GB2312" w:cs="仿宋_GB2312" w:eastAsia="仿宋_GB2312" w:hAnsi="仿宋_GB2312" w:hint="eastAsia"/>
          <w:b w:val="false"/>
          <w:bCs w:val="false"/>
          <w:kern w:val="0"/>
          <w:sz w:val="32"/>
          <w:szCs w:val="32"/>
          <w:lang w:val="en-US" w:eastAsia="zh-CN"/>
        </w:rPr>
        <w:t>0.16万元</w:t>
      </w:r>
      <w:r>
        <w:rPr>
          <w:rFonts w:ascii="仿宋_GB2312" w:cs="仿宋_GB2312" w:eastAsia="仿宋_GB2312" w:hAnsi="仿宋_GB2312" w:hint="default"/>
          <w:b w:val="false"/>
          <w:bCs w:val="false"/>
          <w:kern w:val="0"/>
          <w:sz w:val="32"/>
          <w:szCs w:val="32"/>
          <w:lang w:eastAsia="zh-CN"/>
        </w:rPr>
        <w:t>、邮电费</w:t>
      </w:r>
      <w:r>
        <w:rPr>
          <w:rFonts w:ascii="仿宋_GB2312" w:cs="仿宋_GB2312" w:eastAsia="仿宋_GB2312" w:hAnsi="仿宋_GB2312" w:hint="eastAsia"/>
          <w:b w:val="false"/>
          <w:bCs w:val="false"/>
          <w:kern w:val="0"/>
          <w:sz w:val="32"/>
          <w:szCs w:val="32"/>
          <w:lang w:val="en-US" w:eastAsia="zh-CN"/>
        </w:rPr>
        <w:t>0.21万元</w:t>
      </w:r>
      <w:r>
        <w:rPr>
          <w:rFonts w:ascii="仿宋_GB2312" w:cs="仿宋_GB2312" w:eastAsia="仿宋_GB2312" w:hAnsi="仿宋_GB2312" w:hint="default"/>
          <w:b w:val="false"/>
          <w:bCs w:val="false"/>
          <w:kern w:val="0"/>
          <w:sz w:val="32"/>
          <w:szCs w:val="32"/>
          <w:lang w:eastAsia="zh-CN"/>
        </w:rPr>
        <w:t>、维修（护）费</w:t>
      </w:r>
      <w:r>
        <w:rPr>
          <w:rFonts w:ascii="仿宋_GB2312" w:cs="仿宋_GB2312" w:eastAsia="仿宋_GB2312" w:hAnsi="仿宋_GB2312" w:hint="eastAsia"/>
          <w:b w:val="false"/>
          <w:bCs w:val="false"/>
          <w:kern w:val="0"/>
          <w:sz w:val="32"/>
          <w:szCs w:val="32"/>
          <w:lang w:val="en-US" w:eastAsia="zh-CN"/>
        </w:rPr>
        <w:t>1.97万元</w:t>
      </w:r>
      <w:r>
        <w:rPr>
          <w:rFonts w:ascii="仿宋_GB2312" w:cs="仿宋_GB2312" w:eastAsia="仿宋_GB2312" w:hAnsi="仿宋_GB2312" w:hint="default"/>
          <w:b w:val="false"/>
          <w:bCs w:val="false"/>
          <w:kern w:val="0"/>
          <w:sz w:val="32"/>
          <w:szCs w:val="32"/>
          <w:lang w:eastAsia="zh-CN"/>
        </w:rPr>
        <w:t>、培训费</w:t>
      </w:r>
      <w:r>
        <w:rPr>
          <w:rFonts w:ascii="仿宋_GB2312" w:cs="仿宋_GB2312" w:eastAsia="仿宋_GB2312" w:hAnsi="仿宋_GB2312" w:hint="eastAsia"/>
          <w:b w:val="false"/>
          <w:bCs w:val="false"/>
          <w:kern w:val="0"/>
          <w:sz w:val="32"/>
          <w:szCs w:val="32"/>
          <w:lang w:val="en-US" w:eastAsia="zh-CN"/>
        </w:rPr>
        <w:t>6.95万元</w:t>
      </w:r>
      <w:r>
        <w:rPr>
          <w:rFonts w:ascii="仿宋_GB2312" w:cs="仿宋_GB2312" w:eastAsia="仿宋_GB2312" w:hAnsi="仿宋_GB2312" w:hint="default"/>
          <w:b w:val="false"/>
          <w:bCs w:val="false"/>
          <w:kern w:val="0"/>
          <w:sz w:val="32"/>
          <w:szCs w:val="32"/>
          <w:lang w:eastAsia="zh-CN"/>
        </w:rPr>
        <w:t>、公务接待费</w:t>
      </w:r>
      <w:r>
        <w:rPr>
          <w:rFonts w:ascii="仿宋_GB2312" w:cs="仿宋_GB2312" w:eastAsia="仿宋_GB2312" w:hAnsi="仿宋_GB2312" w:hint="eastAsia"/>
          <w:b w:val="false"/>
          <w:bCs w:val="false"/>
          <w:kern w:val="0"/>
          <w:sz w:val="32"/>
          <w:szCs w:val="32"/>
          <w:lang w:val="en-US" w:eastAsia="zh-CN"/>
        </w:rPr>
        <w:t>0.14万元</w:t>
      </w:r>
      <w:r>
        <w:rPr>
          <w:rFonts w:ascii="仿宋_GB2312" w:cs="仿宋_GB2312" w:eastAsia="仿宋_GB2312" w:hAnsi="仿宋_GB2312" w:hint="default"/>
          <w:b w:val="false"/>
          <w:bCs w:val="false"/>
          <w:kern w:val="0"/>
          <w:sz w:val="32"/>
          <w:szCs w:val="32"/>
          <w:lang w:eastAsia="zh-CN"/>
        </w:rPr>
        <w:t>、劳务费</w:t>
      </w:r>
      <w:r>
        <w:rPr>
          <w:rFonts w:ascii="仿宋_GB2312" w:cs="仿宋_GB2312" w:eastAsia="仿宋_GB2312" w:hAnsi="仿宋_GB2312" w:hint="eastAsia"/>
          <w:b w:val="false"/>
          <w:bCs w:val="false"/>
          <w:kern w:val="0"/>
          <w:sz w:val="32"/>
          <w:szCs w:val="32"/>
          <w:lang w:val="en-US" w:eastAsia="zh-CN"/>
        </w:rPr>
        <w:t>0.24万元、</w:t>
      </w:r>
      <w:r>
        <w:rPr>
          <w:rFonts w:ascii="仿宋_GB2312" w:cs="仿宋_GB2312" w:eastAsia="仿宋_GB2312" w:hAnsi="仿宋_GB2312" w:hint="default"/>
          <w:b w:val="false"/>
          <w:bCs w:val="false"/>
          <w:kern w:val="0"/>
          <w:sz w:val="32"/>
          <w:szCs w:val="32"/>
          <w:lang w:eastAsia="zh-CN"/>
        </w:rPr>
        <w:t>工会经费</w:t>
      </w:r>
      <w:r>
        <w:rPr>
          <w:rFonts w:ascii="仿宋_GB2312" w:cs="仿宋_GB2312" w:eastAsia="仿宋_GB2312" w:hAnsi="仿宋_GB2312" w:hint="eastAsia"/>
          <w:b w:val="false"/>
          <w:bCs w:val="false"/>
          <w:kern w:val="0"/>
          <w:sz w:val="32"/>
          <w:szCs w:val="32"/>
          <w:lang w:val="en-US" w:eastAsia="zh-CN"/>
        </w:rPr>
        <w:t>5.56万元</w:t>
      </w:r>
      <w:r>
        <w:rPr>
          <w:rFonts w:ascii="仿宋_GB2312" w:cs="仿宋_GB2312" w:eastAsia="仿宋_GB2312" w:hAnsi="仿宋_GB2312" w:hint="default"/>
          <w:b w:val="false"/>
          <w:bCs w:val="false"/>
          <w:kern w:val="0"/>
          <w:sz w:val="32"/>
          <w:szCs w:val="32"/>
          <w:lang w:eastAsia="zh-CN"/>
        </w:rPr>
        <w:t>、福利费</w:t>
      </w:r>
      <w:r>
        <w:rPr>
          <w:rFonts w:ascii="仿宋_GB2312" w:cs="仿宋_GB2312" w:eastAsia="仿宋_GB2312" w:hAnsi="仿宋_GB2312" w:hint="eastAsia"/>
          <w:b w:val="false"/>
          <w:bCs w:val="false"/>
          <w:kern w:val="0"/>
          <w:sz w:val="32"/>
          <w:szCs w:val="32"/>
          <w:lang w:val="en-US" w:eastAsia="zh-CN"/>
        </w:rPr>
        <w:t>7.37万元</w:t>
      </w:r>
      <w:r>
        <w:rPr>
          <w:rFonts w:ascii="仿宋_GB2312" w:cs="仿宋_GB2312" w:eastAsia="仿宋_GB2312" w:hAnsi="仿宋_GB2312" w:hint="default"/>
          <w:b w:val="false"/>
          <w:bCs w:val="false"/>
          <w:kern w:val="0"/>
          <w:sz w:val="32"/>
          <w:szCs w:val="32"/>
          <w:lang w:eastAsia="zh-CN"/>
        </w:rPr>
        <w:t>、其他交通费用</w:t>
      </w:r>
      <w:r>
        <w:rPr>
          <w:rFonts w:ascii="仿宋_GB2312" w:cs="仿宋_GB2312" w:eastAsia="仿宋_GB2312" w:hAnsi="仿宋_GB2312" w:hint="eastAsia"/>
          <w:b w:val="false"/>
          <w:bCs w:val="false"/>
          <w:kern w:val="0"/>
          <w:sz w:val="32"/>
          <w:szCs w:val="32"/>
          <w:lang w:val="en-US" w:eastAsia="zh-CN"/>
        </w:rPr>
        <w:t>17.46万元</w:t>
      </w:r>
      <w:r>
        <w:rPr>
          <w:rFonts w:ascii="仿宋_GB2312" w:cs="仿宋_GB2312" w:eastAsia="仿宋_GB2312" w:hAnsi="仿宋_GB2312" w:hint="default"/>
          <w:b w:val="false"/>
          <w:bCs w:val="false"/>
          <w:kern w:val="0"/>
          <w:sz w:val="32"/>
          <w:szCs w:val="32"/>
          <w:lang w:eastAsia="zh-CN"/>
        </w:rPr>
        <w:t>、其他商品和服务支出</w:t>
      </w:r>
      <w:r>
        <w:rPr>
          <w:rFonts w:ascii="仿宋_GB2312" w:cs="仿宋_GB2312" w:eastAsia="仿宋_GB2312" w:hAnsi="仿宋_GB2312" w:hint="eastAsia"/>
          <w:b w:val="false"/>
          <w:bCs w:val="false"/>
          <w:kern w:val="0"/>
          <w:sz w:val="32"/>
          <w:szCs w:val="32"/>
          <w:lang w:val="en-US" w:eastAsia="zh-CN"/>
        </w:rPr>
        <w:t>1.11万元</w:t>
      </w:r>
      <w:r>
        <w:rPr>
          <w:rFonts w:ascii="仿宋_GB2312" w:cs="仿宋_GB2312" w:eastAsia="仿宋_GB2312" w:hAnsi="仿宋_GB2312" w:hint="default"/>
          <w:b w:val="false"/>
          <w:bCs w:val="false"/>
          <w:kern w:val="0"/>
          <w:sz w:val="32"/>
          <w:szCs w:val="32"/>
          <w:lang w:eastAsia="zh-CN"/>
        </w:rPr>
        <w:t>、办公设备购置</w:t>
      </w:r>
      <w:r>
        <w:rPr>
          <w:rFonts w:ascii="仿宋_GB2312" w:cs="仿宋_GB2312" w:eastAsia="仿宋_GB2312" w:hAnsi="仿宋_GB2312" w:hint="eastAsia"/>
          <w:b w:val="false"/>
          <w:bCs w:val="false"/>
          <w:kern w:val="0"/>
          <w:sz w:val="32"/>
          <w:szCs w:val="32"/>
          <w:lang w:val="en-US" w:eastAsia="zh-CN"/>
        </w:rPr>
        <w:t>1.93万元</w:t>
      </w:r>
      <w:r>
        <w:rPr>
          <w:rFonts w:ascii="仿宋_GB2312" w:cs="仿宋_GB2312" w:eastAsia="仿宋_GB2312" w:hAnsi="仿宋_GB2312" w:hint="default"/>
          <w:b w:val="false"/>
          <w:bCs w:val="false"/>
          <w:kern w:val="0"/>
          <w:sz w:val="32"/>
          <w:szCs w:val="32"/>
          <w:lang w:eastAsia="zh-CN"/>
        </w:rPr>
        <w:t>。</w:t>
      </w:r>
    </w:p>
    <w:p w14:paraId="30048357">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eastAsia"/>
          <w:b w:val="false"/>
          <w:bCs w:val="false"/>
          <w:kern w:val="0"/>
          <w:sz w:val="32"/>
          <w:szCs w:val="32"/>
          <w:lang w:val="en-US" w:eastAsia="zh-CN"/>
        </w:rPr>
      </w:pPr>
      <w:r>
        <w:rPr>
          <w:rFonts w:ascii="黑体" w:cs="黑体" w:eastAsia="黑体" w:hAnsi="黑体" w:hint="eastAsia"/>
          <w:b/>
          <w:bCs/>
          <w:kern w:val="0"/>
          <w:sz w:val="32"/>
          <w:szCs w:val="32"/>
          <w:lang w:val="en-US" w:eastAsia="zh-CN"/>
        </w:rPr>
        <w:t>七、一般公共预算财政拨款项目支出决算情况说明</w:t>
      </w:r>
    </w:p>
    <w:p w14:paraId="4FE38FA1">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 乌海市文化市场综合行政执法局 </w:t>
      </w:r>
      <w:r>
        <w:rPr>
          <w:rFonts w:ascii="仿宋_GB2312" w:cs="仿宋_GB2312" w:eastAsia="仿宋_GB2312" w:hAnsi="仿宋_GB2312" w:hint="default"/>
          <w:b w:val="false"/>
          <w:bCs w:val="false"/>
          <w:kern w:val="0"/>
          <w:sz w:val="32"/>
          <w:szCs w:val="32"/>
          <w:lang w:val="en-US" w:eastAsia="zh-CN"/>
        </w:rPr>
        <w:t>2024</w:t>
      </w:r>
      <w:r>
        <w:rPr>
          <w:rFonts w:ascii="仿宋_GB2312" w:cs="仿宋_GB2312" w:eastAsia="仿宋_GB2312" w:hAnsi="仿宋_GB2312" w:hint="eastAsia"/>
          <w:b w:val="false"/>
          <w:bCs w:val="false"/>
          <w:kern w:val="0"/>
          <w:sz w:val="32"/>
          <w:szCs w:val="32"/>
          <w:lang w:val="en-US" w:eastAsia="zh-CN"/>
        </w:rPr>
        <w:t>年度一般公共预算财政拨款项目支出决算 29.80万元，其中：</w:t>
      </w:r>
    </w:p>
    <w:p w14:paraId="7C13B2A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楷体" w:cs="楷体" w:eastAsia="楷体" w:hAnsi="楷体" w:hint="eastAsia"/>
          <w:b w:val="false"/>
          <w:bCs w:val="false"/>
          <w:kern w:val="0"/>
          <w:sz w:val="32"/>
          <w:szCs w:val="32"/>
          <w:lang w:val="en-US" w:eastAsia="zh-CN"/>
        </w:rPr>
      </w:pPr>
      <w:r>
        <w:rPr>
          <w:rFonts w:ascii="楷体" w:cs="楷体" w:eastAsia="楷体" w:hAnsi="楷体" w:hint="eastAsia"/>
          <w:b w:val="false"/>
          <w:bCs w:val="false"/>
          <w:kern w:val="0"/>
          <w:sz w:val="32"/>
          <w:szCs w:val="32"/>
          <w:lang w:val="en-US" w:eastAsia="zh-CN"/>
        </w:rPr>
        <w:t>（一）工资福利支出0万元。</w:t>
      </w:r>
    </w:p>
    <w:p w14:paraId="6657B1C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楷体" w:cs="楷体" w:eastAsia="楷体" w:hAnsi="楷体" w:hint="eastAsia"/>
          <w:b w:val="false"/>
          <w:bCs w:val="false"/>
          <w:kern w:val="0"/>
          <w:sz w:val="32"/>
          <w:szCs w:val="32"/>
          <w:lang w:val="en-US" w:eastAsia="zh-CN"/>
        </w:rPr>
        <w:t>（二）商品和服务支出 21.73万元。</w:t>
      </w:r>
      <w:r>
        <w:rPr>
          <w:rFonts w:ascii="仿宋_GB2312" w:cs="仿宋_GB2312" w:eastAsia="仿宋_GB2312" w:hAnsi="仿宋_GB2312" w:hint="eastAsia"/>
          <w:b w:val="false"/>
          <w:bCs w:val="false"/>
          <w:kern w:val="0"/>
          <w:sz w:val="32"/>
          <w:szCs w:val="32"/>
          <w:lang w:val="en-US" w:eastAsia="zh-CN"/>
        </w:rPr>
        <w:t>主要包括：办公费2万元、维修（护）费10.95万元、劳务费3.92万元、其他商品和服务支出4.87万元。</w:t>
      </w:r>
    </w:p>
    <w:p w14:paraId="209F227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楷体" w:cs="楷体" w:eastAsia="楷体" w:hAnsi="楷体" w:hint="eastAsia"/>
          <w:b w:val="false"/>
          <w:bCs w:val="false"/>
          <w:kern w:val="0"/>
          <w:sz w:val="32"/>
          <w:szCs w:val="32"/>
          <w:lang w:val="en-US" w:eastAsia="zh-CN"/>
        </w:rPr>
        <w:t>（三）资本性支出 8.07万元。</w:t>
      </w:r>
      <w:r>
        <w:rPr>
          <w:rFonts w:ascii="仿宋_GB2312" w:cs="仿宋_GB2312" w:eastAsia="仿宋_GB2312" w:hAnsi="仿宋_GB2312" w:hint="eastAsia"/>
          <w:b w:val="false"/>
          <w:bCs w:val="false"/>
          <w:kern w:val="0"/>
          <w:sz w:val="32"/>
          <w:szCs w:val="32"/>
          <w:lang w:val="en-US" w:eastAsia="zh-CN"/>
        </w:rPr>
        <w:t>主要包括：单位办公设备老旧，新增了部分办公设备。</w:t>
      </w:r>
    </w:p>
    <w:p w14:paraId="208EE66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eastAsia"/>
          <w:b w:val="false"/>
          <w:bCs w:val="false"/>
          <w:kern w:val="0"/>
          <w:sz w:val="32"/>
          <w:szCs w:val="32"/>
          <w:lang w:val="en-US" w:eastAsia="zh-CN"/>
        </w:rPr>
      </w:pPr>
      <w:r>
        <w:rPr>
          <w:rFonts w:ascii="黑体" w:cs="黑体" w:eastAsia="黑体" w:hAnsi="黑体" w:hint="eastAsia"/>
          <w:b/>
          <w:bCs/>
          <w:kern w:val="0"/>
          <w:sz w:val="32"/>
          <w:szCs w:val="32"/>
          <w:lang w:val="en-US" w:eastAsia="zh-CN"/>
        </w:rPr>
        <w:t>八、财政拨款“三公”经费支出决算情况说明</w:t>
      </w:r>
    </w:p>
    <w:p w14:paraId="7BF9632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楷体" w:cs="楷体" w:eastAsia="楷体" w:hAnsi="楷体" w:hint="eastAsia"/>
          <w:b w:val="false"/>
          <w:bCs w:val="false"/>
          <w:kern w:val="0"/>
          <w:sz w:val="32"/>
          <w:szCs w:val="32"/>
          <w:lang w:val="en-US" w:eastAsia="zh-CN"/>
        </w:rPr>
        <w:t>（一）财政拨款“三公”经费支出总体情况说明。</w:t>
      </w:r>
    </w:p>
    <w:p w14:paraId="46103CA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 </w:t>
      </w:r>
      <w:r>
        <w:rPr>
          <w:rFonts w:ascii="仿宋_GB2312" w:cs="仿宋_GB2312" w:eastAsia="仿宋_GB2312" w:hAnsi="仿宋_GB2312" w:hint="default"/>
          <w:b w:val="false"/>
          <w:bCs w:val="false"/>
          <w:kern w:val="0"/>
          <w:sz w:val="32"/>
          <w:szCs w:val="32"/>
          <w:lang w:val="en-US" w:eastAsia="zh-CN"/>
        </w:rPr>
        <w:t>2024</w:t>
      </w:r>
      <w:r>
        <w:rPr>
          <w:rFonts w:ascii="仿宋_GB2312" w:cs="仿宋_GB2312" w:eastAsia="仿宋_GB2312" w:hAnsi="仿宋_GB2312" w:hint="eastAsia"/>
          <w:b w:val="false"/>
          <w:bCs w:val="false"/>
          <w:kern w:val="0"/>
          <w:sz w:val="32"/>
          <w:szCs w:val="32"/>
          <w:lang w:val="en-US" w:eastAsia="zh-CN"/>
        </w:rPr>
        <w:t>年度财政拨款“三公”经费全年预算 0.50万元，支出决算 0.14万元，完成预算的 28.76%。其中：因公出国（境）费全年预算 0万元，支出决算 0万元，完成预算的 0%；公务用车购置及运行维护费全年预算 0万元，支出决算 0万元，完成预算的 0%；公务接待费全年预算 0.50万元，支出决算 0.14万元，完成预算的 28.76%。2024年度一般公共预算财政拨款“三公”经费全年预算 0.50万元，支出决算 0.14万元，与预算差异原因：按照工作进展安排，2024年公务接待一次。</w:t>
      </w:r>
    </w:p>
    <w:p w14:paraId="4CDC2575">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楷体" w:cs="楷体" w:eastAsia="楷体" w:hAnsi="楷体" w:hint="eastAsia"/>
          <w:b w:val="false"/>
          <w:bCs w:val="false"/>
          <w:kern w:val="0"/>
          <w:sz w:val="32"/>
          <w:szCs w:val="32"/>
          <w:lang w:val="en-US" w:eastAsia="zh-CN"/>
        </w:rPr>
      </w:pPr>
      <w:r>
        <w:rPr>
          <w:rFonts w:ascii="楷体" w:cs="楷体" w:eastAsia="楷体" w:hAnsi="楷体" w:hint="eastAsia"/>
          <w:b w:val="false"/>
          <w:bCs w:val="false"/>
          <w:kern w:val="0"/>
          <w:sz w:val="32"/>
          <w:szCs w:val="32"/>
          <w:lang w:val="en-US" w:eastAsia="zh-CN"/>
        </w:rPr>
        <w:t>（二）财政拨款“三公”经费支出具体情况说明。</w:t>
      </w:r>
    </w:p>
    <w:p w14:paraId="0E3B2DE7">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 </w:t>
      </w:r>
      <w:r>
        <w:rPr>
          <w:rFonts w:ascii="仿宋_GB2312" w:cs="仿宋_GB2312" w:eastAsia="仿宋_GB2312" w:hAnsi="仿宋_GB2312" w:hint="default"/>
          <w:b w:val="false"/>
          <w:bCs w:val="false"/>
          <w:kern w:val="0"/>
          <w:sz w:val="32"/>
          <w:szCs w:val="32"/>
          <w:lang w:val="en-US" w:eastAsia="zh-CN"/>
        </w:rPr>
        <w:t>2024</w:t>
      </w:r>
      <w:r>
        <w:rPr>
          <w:rFonts w:ascii="仿宋_GB2312" w:cs="仿宋_GB2312" w:eastAsia="仿宋_GB2312" w:hAnsi="仿宋_GB2312" w:hint="eastAsia"/>
          <w:b w:val="false"/>
          <w:bCs w:val="false"/>
          <w:kern w:val="0"/>
          <w:sz w:val="32"/>
          <w:szCs w:val="32"/>
          <w:lang w:val="en-US" w:eastAsia="zh-CN"/>
        </w:rPr>
        <w:t>年度财政拨款“三公”经费支出 0.14万元。因公出国（境）费支出 0万元，占 0%；公务用车购置及运行维护费支出 0万元，占 0%；公务接待费支出 0.14万元，占 100.00%。其中：</w:t>
      </w:r>
    </w:p>
    <w:p w14:paraId="09BF2B64">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default"/>
          <w:b w:val="false"/>
          <w:bCs w:val="false"/>
          <w:kern w:val="0"/>
          <w:sz w:val="32"/>
          <w:szCs w:val="32"/>
          <w:lang w:val="en-US" w:eastAsia="zh-CN"/>
        </w:rPr>
        <w:t>1.</w:t>
      </w:r>
      <w:r>
        <w:rPr>
          <w:rFonts w:ascii="仿宋_GB2312" w:cs="仿宋_GB2312" w:eastAsia="仿宋_GB2312" w:hAnsi="仿宋_GB2312" w:hint="eastAsia"/>
          <w:b w:val="false"/>
          <w:bCs w:val="false"/>
          <w:kern w:val="0"/>
          <w:sz w:val="32"/>
          <w:szCs w:val="32"/>
          <w:lang w:val="en-US" w:eastAsia="zh-CN"/>
        </w:rPr>
        <w:t>因公出国（境）费支出 0万元，全年出国（境）团组0 个，累计0 人次。与上年决算相比，增加 0万元，增长 0%，变动原因：与上年相比无变动。</w:t>
      </w:r>
    </w:p>
    <w:p w14:paraId="16B1255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default"/>
          <w:b w:val="false"/>
          <w:bCs w:val="false"/>
          <w:kern w:val="0"/>
          <w:sz w:val="32"/>
          <w:szCs w:val="32"/>
          <w:lang w:val="en-US" w:eastAsia="zh-CN"/>
        </w:rPr>
        <w:t>2.</w:t>
      </w:r>
      <w:r>
        <w:rPr>
          <w:rFonts w:ascii="仿宋_GB2312" w:cs="仿宋_GB2312" w:eastAsia="仿宋_GB2312" w:hAnsi="仿宋_GB2312" w:hint="eastAsia"/>
          <w:b w:val="false"/>
          <w:bCs w:val="false"/>
          <w:kern w:val="0"/>
          <w:sz w:val="32"/>
          <w:szCs w:val="32"/>
          <w:lang w:val="en-US" w:eastAsia="zh-CN"/>
        </w:rPr>
        <w:t>公务用车购置及运行维护费支出 0万元。其中：</w:t>
      </w:r>
    </w:p>
    <w:p w14:paraId="3C1624C4">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（1）公务用车购置支出 0万元。本年度使用财政拨款购置公务用车0 辆，开支内容：无。与上年决算相比，增加 0万元，增长 0%，变动原因：与上年相比无变动。</w:t>
      </w:r>
    </w:p>
    <w:p w14:paraId="17D178A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（2）公务用车运行维护费支出 0万元。公务用车运行维护费主要用于按规定保留的公务用车的燃料费、维修费、过桥过路费、保险费、安全奖励费用等支出。截至</w:t>
      </w:r>
      <w:r>
        <w:rPr>
          <w:rFonts w:ascii="仿宋_GB2312" w:cs="仿宋_GB2312" w:eastAsia="仿宋_GB2312" w:hAnsi="仿宋_GB2312" w:hint="default"/>
          <w:b w:val="false"/>
          <w:bCs w:val="false"/>
          <w:kern w:val="0"/>
          <w:sz w:val="32"/>
          <w:szCs w:val="32"/>
          <w:lang w:val="en-US" w:eastAsia="zh-CN"/>
        </w:rPr>
        <w:t>2024</w:t>
      </w:r>
      <w:r>
        <w:rPr>
          <w:rFonts w:ascii="仿宋_GB2312" w:cs="仿宋_GB2312" w:eastAsia="仿宋_GB2312" w:hAnsi="仿宋_GB2312" w:hint="eastAsia"/>
          <w:b w:val="false"/>
          <w:bCs w:val="false"/>
          <w:kern w:val="0"/>
          <w:sz w:val="32"/>
          <w:szCs w:val="32"/>
          <w:lang w:val="en-US" w:eastAsia="zh-CN"/>
        </w:rPr>
        <w:t>年</w:t>
      </w:r>
      <w:r>
        <w:rPr>
          <w:rFonts w:ascii="仿宋_GB2312" w:cs="仿宋_GB2312" w:eastAsia="仿宋_GB2312" w:hAnsi="仿宋_GB2312" w:hint="default"/>
          <w:b w:val="false"/>
          <w:bCs w:val="false"/>
          <w:kern w:val="0"/>
          <w:sz w:val="32"/>
          <w:szCs w:val="32"/>
          <w:lang w:val="en-US" w:eastAsia="zh-CN"/>
        </w:rPr>
        <w:t>12</w:t>
      </w:r>
      <w:r>
        <w:rPr>
          <w:rFonts w:ascii="仿宋_GB2312" w:cs="仿宋_GB2312" w:eastAsia="仿宋_GB2312" w:hAnsi="仿宋_GB2312" w:hint="eastAsia"/>
          <w:b w:val="false"/>
          <w:bCs w:val="false"/>
          <w:kern w:val="0"/>
          <w:sz w:val="32"/>
          <w:szCs w:val="32"/>
          <w:lang w:val="en-US" w:eastAsia="zh-CN"/>
        </w:rPr>
        <w:t>月</w:t>
      </w:r>
      <w:r>
        <w:rPr>
          <w:rFonts w:ascii="仿宋_GB2312" w:cs="仿宋_GB2312" w:eastAsia="仿宋_GB2312" w:hAnsi="仿宋_GB2312" w:hint="default"/>
          <w:b w:val="false"/>
          <w:bCs w:val="false"/>
          <w:kern w:val="0"/>
          <w:sz w:val="32"/>
          <w:szCs w:val="32"/>
          <w:lang w:val="en-US" w:eastAsia="zh-CN"/>
        </w:rPr>
        <w:t>31</w:t>
      </w:r>
      <w:r>
        <w:rPr>
          <w:rFonts w:ascii="仿宋_GB2312" w:cs="仿宋_GB2312" w:eastAsia="仿宋_GB2312" w:hAnsi="仿宋_GB2312" w:hint="eastAsia"/>
          <w:b w:val="false"/>
          <w:bCs w:val="false"/>
          <w:kern w:val="0"/>
          <w:sz w:val="32"/>
          <w:szCs w:val="32"/>
          <w:lang w:val="en-US" w:eastAsia="zh-CN"/>
        </w:rPr>
        <w:t>日，使用财政拨款开支的公务用车保有量为0 辆。与上年决算相比，增加 0万元，增长 0%，变动原因：与上年相比无变动。</w:t>
      </w:r>
    </w:p>
    <w:p w14:paraId="73219C91">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3.公务接待费支出 0.14万元。其中：国内公务接待支出 0.14万元，接待1 批次，12 人次，开支内容：我局按照本年执法业务开展公务接待1次；国（境）外公务接待支出 0万元，接待0 批次，0 人次，开支内容：无。与上年决算相比，减少 0.27万元，下降 65.32%，变动原因：我局按照本年执法业务开展公务接待1次。</w:t>
      </w:r>
    </w:p>
    <w:p w14:paraId="4B4E189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eastAsia"/>
          <w:b w:val="false"/>
          <w:bCs w:val="false"/>
          <w:kern w:val="0"/>
          <w:sz w:val="32"/>
          <w:szCs w:val="32"/>
          <w:lang w:val="en-US" w:eastAsia="zh-CN"/>
        </w:rPr>
      </w:pPr>
      <w:r>
        <w:rPr>
          <w:rFonts w:ascii="黑体" w:cs="黑体" w:eastAsia="黑体" w:hAnsi="黑体" w:hint="eastAsia"/>
          <w:b/>
          <w:bCs/>
          <w:kern w:val="0"/>
          <w:sz w:val="32"/>
          <w:szCs w:val="32"/>
          <w:lang w:val="en-US" w:eastAsia="zh-CN"/>
        </w:rPr>
        <w:t>九、政府性基金预算财政拨款支出决算情况说明</w:t>
      </w:r>
    </w:p>
    <w:p w14:paraId="2A7B37B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w:t>
      </w:r>
      <w:r>
        <w:rPr>
          <w:rFonts w:ascii="仿宋_GB2312" w:cs="仿宋_GB2312" w:eastAsia="仿宋_GB2312" w:hAnsi="仿宋_GB2312" w:hint="default"/>
          <w:b w:val="false"/>
          <w:bCs w:val="false"/>
          <w:kern w:val="0"/>
          <w:sz w:val="32"/>
          <w:szCs w:val="32"/>
          <w:lang w:val="en-US" w:eastAsia="zh-CN"/>
        </w:rPr>
        <w:t> 2024</w:t>
      </w:r>
      <w:r>
        <w:rPr>
          <w:rFonts w:ascii="仿宋_GB2312" w:cs="仿宋_GB2312" w:eastAsia="仿宋_GB2312" w:hAnsi="仿宋_GB2312" w:hint="eastAsia"/>
          <w:b w:val="false"/>
          <w:bCs w:val="false"/>
          <w:kern w:val="0"/>
          <w:sz w:val="32"/>
          <w:szCs w:val="32"/>
          <w:lang w:val="en-US" w:eastAsia="zh-CN"/>
        </w:rPr>
        <w:t>年度政府性基金预算财政拨款支出决算</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万元。与上年决算相比，增加 0万元，增长 0%，变动原因：本年无政府性基金预算财政拨款收、支、余。</w:t>
      </w:r>
      <w:bookmarkStart w:id="1" w:name="_GoBack"/>
      <w:bookmarkEnd w:id="1"/>
    </w:p>
    <w:p w14:paraId="38C8847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eastAsia"/>
          <w:b w:val="false"/>
          <w:bCs w:val="false"/>
          <w:kern w:val="0"/>
          <w:sz w:val="32"/>
          <w:szCs w:val="32"/>
          <w:lang w:val="en-US" w:eastAsia="zh-CN"/>
        </w:rPr>
      </w:pPr>
      <w:r>
        <w:rPr>
          <w:rFonts w:ascii="黑体" w:cs="黑体" w:eastAsia="黑体" w:hAnsi="黑体" w:hint="eastAsia"/>
          <w:b/>
          <w:bCs/>
          <w:kern w:val="0"/>
          <w:sz w:val="32"/>
          <w:szCs w:val="32"/>
          <w:lang w:val="en-US" w:eastAsia="zh-CN"/>
        </w:rPr>
        <w:t>十、国有资本经营预算财政拨款支出决算情况说明</w:t>
      </w:r>
    </w:p>
    <w:p w14:paraId="78BB509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w:t>
      </w:r>
      <w:r>
        <w:rPr>
          <w:rFonts w:ascii="仿宋_GB2312" w:cs="仿宋_GB2312" w:eastAsia="仿宋_GB2312" w:hAnsi="仿宋_GB2312" w:hint="default"/>
          <w:b w:val="false"/>
          <w:bCs w:val="false"/>
          <w:kern w:val="0"/>
          <w:sz w:val="32"/>
          <w:szCs w:val="32"/>
          <w:lang w:val="en-US" w:eastAsia="zh-CN"/>
        </w:rPr>
        <w:t> 2024</w:t>
      </w:r>
      <w:r>
        <w:rPr>
          <w:rFonts w:ascii="仿宋_GB2312" w:cs="仿宋_GB2312" w:eastAsia="仿宋_GB2312" w:hAnsi="仿宋_GB2312" w:hint="eastAsia"/>
          <w:b w:val="false"/>
          <w:bCs w:val="false"/>
          <w:kern w:val="0"/>
          <w:sz w:val="32"/>
          <w:szCs w:val="32"/>
          <w:lang w:val="en-US" w:eastAsia="zh-CN"/>
        </w:rPr>
        <w:t>年度国有资本经营预算财政拨款支出决算</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万元。与上年决算相比，增加 0万元，增长 0%，变动原因：本年无国有资本经营预算财政拨款收、支、余。</w:t>
      </w:r>
    </w:p>
    <w:p w14:paraId="7D801A1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val="en-US" w:eastAsia="zh-CN"/>
        </w:rPr>
      </w:pPr>
      <w:r>
        <w:rPr>
          <w:rFonts w:ascii="黑体" w:cs="黑体" w:eastAsia="黑体" w:hAnsi="黑体" w:hint="eastAsia"/>
          <w:b/>
          <w:bCs/>
          <w:kern w:val="0"/>
          <w:sz w:val="32"/>
          <w:szCs w:val="32"/>
          <w:lang w:val="en-US" w:eastAsia="zh-CN"/>
        </w:rPr>
        <w:t>十一、机关运行经费（公用经费）支出决算情况说明</w:t>
      </w:r>
    </w:p>
    <w:p w14:paraId="7511AA4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 2024年度公用经费支出决算 45.84万元，与上年决算相比，增加 1.76万元，增长 4.00%，变动原因：人员工资增加，日常公用经费增加。其中，机关运行经费支出决算 45.84万元。比上年决算相比，增加1.76万元，增长 4.00%，变动原因：人员工资增加，日常公用经费增加。</w:t>
      </w:r>
    </w:p>
    <w:p w14:paraId="503A655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val="en-US" w:eastAsia="zh-CN"/>
        </w:rPr>
      </w:pPr>
      <w:r>
        <w:rPr>
          <w:rFonts w:ascii="黑体" w:cs="黑体" w:eastAsia="黑体" w:hAnsi="黑体" w:hint="eastAsia"/>
          <w:b/>
          <w:bCs/>
          <w:kern w:val="0"/>
          <w:sz w:val="32"/>
          <w:szCs w:val="32"/>
          <w:lang w:val="en-US" w:eastAsia="zh-CN"/>
        </w:rPr>
        <w:t>十二、政府采购支出决算情况说明</w:t>
      </w:r>
    </w:p>
    <w:p w14:paraId="5BE7C74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 </w:t>
      </w:r>
      <w:r>
        <w:rPr>
          <w:rFonts w:ascii="仿宋_GB2312" w:cs="仿宋_GB2312" w:eastAsia="仿宋_GB2312" w:hAnsi="仿宋_GB2312" w:hint="default"/>
          <w:b w:val="false"/>
          <w:bCs w:val="false"/>
          <w:kern w:val="0"/>
          <w:sz w:val="32"/>
          <w:szCs w:val="32"/>
          <w:lang w:val="en-US" w:eastAsia="zh-CN"/>
        </w:rPr>
        <w:t>2024</w:t>
      </w:r>
      <w:r>
        <w:rPr>
          <w:rFonts w:ascii="仿宋_GB2312" w:cs="仿宋_GB2312" w:eastAsia="仿宋_GB2312" w:hAnsi="仿宋_GB2312" w:hint="eastAsia"/>
          <w:b w:val="false"/>
          <w:bCs w:val="false"/>
          <w:kern w:val="0"/>
          <w:sz w:val="32"/>
          <w:szCs w:val="32"/>
          <w:lang w:val="en-US" w:eastAsia="zh-CN"/>
        </w:rPr>
        <w:t>年度政府采购支出总额</w:t>
      </w:r>
      <w:r>
        <w:rPr>
          <w:rFonts w:ascii="仿宋_GB2312" w:cs="仿宋_GB2312" w:eastAsia="仿宋_GB2312" w:hAnsi="仿宋_GB2312" w:hint="default"/>
          <w:b w:val="false"/>
          <w:bCs w:val="false"/>
          <w:kern w:val="0"/>
          <w:sz w:val="32"/>
          <w:szCs w:val="32"/>
          <w:lang w:val="en-US" w:eastAsia="zh-CN"/>
        </w:rPr>
        <w:t> 8.14</w:t>
      </w:r>
      <w:r>
        <w:rPr>
          <w:rFonts w:ascii="仿宋_GB2312" w:cs="仿宋_GB2312" w:eastAsia="仿宋_GB2312" w:hAnsi="仿宋_GB2312" w:hint="eastAsia"/>
          <w:b w:val="false"/>
          <w:bCs w:val="false"/>
          <w:kern w:val="0"/>
          <w:sz w:val="32"/>
          <w:szCs w:val="32"/>
          <w:lang w:val="en-US" w:eastAsia="zh-CN"/>
        </w:rPr>
        <w:t>万元，其中：政府采购货物支出 8.14万元、政府采购工程支出</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万元、政府采购服务支出 0万元。政府采购授予中小企业合同金额</w:t>
      </w:r>
      <w:r>
        <w:rPr>
          <w:rFonts w:ascii="仿宋_GB2312" w:cs="仿宋_GB2312" w:eastAsia="仿宋_GB2312" w:hAnsi="仿宋_GB2312" w:hint="default"/>
          <w:b w:val="false"/>
          <w:bCs w:val="false"/>
          <w:kern w:val="0"/>
          <w:sz w:val="32"/>
          <w:szCs w:val="32"/>
          <w:lang w:val="en-US" w:eastAsia="zh-CN"/>
        </w:rPr>
        <w:t> 8.14</w:t>
      </w:r>
      <w:r>
        <w:rPr>
          <w:rFonts w:ascii="仿宋_GB2312" w:cs="仿宋_GB2312" w:eastAsia="仿宋_GB2312" w:hAnsi="仿宋_GB2312" w:hint="eastAsia"/>
          <w:b w:val="false"/>
          <w:bCs w:val="false"/>
          <w:kern w:val="0"/>
          <w:sz w:val="32"/>
          <w:szCs w:val="32"/>
          <w:lang w:val="en-US" w:eastAsia="zh-CN"/>
        </w:rPr>
        <w:t>万元，占政府采购支出总额的</w:t>
      </w:r>
      <w:r>
        <w:rPr>
          <w:rFonts w:ascii="仿宋_GB2312" w:cs="仿宋_GB2312" w:eastAsia="仿宋_GB2312" w:hAnsi="仿宋_GB2312" w:hint="default"/>
          <w:b w:val="false"/>
          <w:bCs w:val="false"/>
          <w:kern w:val="0"/>
          <w:sz w:val="32"/>
          <w:szCs w:val="32"/>
          <w:lang w:val="en-US" w:eastAsia="zh-CN"/>
        </w:rPr>
        <w:t>100</w:t>
      </w:r>
      <w:r>
        <w:rPr>
          <w:rFonts w:ascii="仿宋_GB2312" w:cs="仿宋_GB2312" w:eastAsia="仿宋_GB2312" w:hAnsi="仿宋_GB2312" w:hint="eastAsia"/>
          <w:b w:val="false"/>
          <w:bCs w:val="false"/>
          <w:kern w:val="0"/>
          <w:sz w:val="32"/>
          <w:szCs w:val="32"/>
          <w:lang w:val="en-US" w:eastAsia="zh-CN"/>
        </w:rPr>
        <w:t>%，其中：授予小微企业合同金额</w:t>
      </w:r>
      <w:r>
        <w:rPr>
          <w:rFonts w:ascii="仿宋_GB2312" w:cs="仿宋_GB2312" w:eastAsia="仿宋_GB2312" w:hAnsi="仿宋_GB2312" w:hint="default"/>
          <w:b w:val="false"/>
          <w:bCs w:val="false"/>
          <w:kern w:val="0"/>
          <w:sz w:val="32"/>
          <w:szCs w:val="32"/>
          <w:lang w:val="en-US" w:eastAsia="zh-CN"/>
        </w:rPr>
        <w:t>  8.14</w:t>
      </w:r>
      <w:r>
        <w:rPr>
          <w:rFonts w:ascii="仿宋_GB2312" w:cs="仿宋_GB2312" w:eastAsia="仿宋_GB2312" w:hAnsi="仿宋_GB2312" w:hint="eastAsia"/>
          <w:b w:val="false"/>
          <w:bCs w:val="false"/>
          <w:kern w:val="0"/>
          <w:sz w:val="32"/>
          <w:szCs w:val="32"/>
          <w:lang w:val="en-US" w:eastAsia="zh-CN"/>
        </w:rPr>
        <w:t>万元，占政府采购支出总额的</w:t>
      </w:r>
      <w:r>
        <w:rPr>
          <w:rFonts w:ascii="仿宋_GB2312" w:cs="仿宋_GB2312" w:eastAsia="仿宋_GB2312" w:hAnsi="仿宋_GB2312" w:hint="default"/>
          <w:b w:val="false"/>
          <w:bCs w:val="false"/>
          <w:kern w:val="0"/>
          <w:sz w:val="32"/>
          <w:szCs w:val="32"/>
          <w:lang w:val="en-US" w:eastAsia="zh-CN"/>
        </w:rPr>
        <w:t>100</w:t>
      </w:r>
      <w:r>
        <w:rPr>
          <w:rFonts w:ascii="仿宋_GB2312" w:cs="仿宋_GB2312" w:eastAsia="仿宋_GB2312" w:hAnsi="仿宋_GB2312" w:hint="eastAsia"/>
          <w:b w:val="false"/>
          <w:bCs w:val="false"/>
          <w:kern w:val="0"/>
          <w:sz w:val="32"/>
          <w:szCs w:val="32"/>
          <w:lang w:val="en-US" w:eastAsia="zh-CN"/>
        </w:rPr>
        <w:t>%；货物采购授予中小企业合同金额占货物支出金额的</w:t>
      </w:r>
      <w:r>
        <w:rPr>
          <w:rFonts w:ascii="仿宋_GB2312" w:cs="仿宋_GB2312" w:eastAsia="仿宋_GB2312" w:hAnsi="仿宋_GB2312" w:hint="default"/>
          <w:b w:val="false"/>
          <w:bCs w:val="false"/>
          <w:kern w:val="0"/>
          <w:sz w:val="32"/>
          <w:szCs w:val="32"/>
          <w:lang w:val="en-US" w:eastAsia="zh-CN"/>
        </w:rPr>
        <w:t>0</w:t>
      </w:r>
      <w:r>
        <w:rPr>
          <w:rFonts w:ascii="仿宋_GB2312" w:cs="仿宋_GB2312" w:eastAsia="仿宋_GB2312" w:hAnsi="仿宋_GB2312" w:hint="eastAsia"/>
          <w:b w:val="false"/>
          <w:bCs w:val="false"/>
          <w:kern w:val="0"/>
          <w:sz w:val="32"/>
          <w:szCs w:val="32"/>
          <w:lang w:val="en-US" w:eastAsia="zh-CN"/>
        </w:rPr>
        <w:t>%，工程采购授予中小企业合同金额占工程支出金额的</w:t>
      </w:r>
      <w:r>
        <w:rPr>
          <w:rFonts w:ascii="仿宋_GB2312" w:cs="仿宋_GB2312" w:eastAsia="仿宋_GB2312" w:hAnsi="仿宋_GB2312" w:hint="default"/>
          <w:b w:val="false"/>
          <w:bCs w:val="false"/>
          <w:kern w:val="0"/>
          <w:sz w:val="32"/>
          <w:szCs w:val="32"/>
          <w:lang w:val="en-US" w:eastAsia="zh-CN"/>
        </w:rPr>
        <w:t>0</w:t>
      </w:r>
      <w:r>
        <w:rPr>
          <w:rFonts w:ascii="仿宋_GB2312" w:cs="仿宋_GB2312" w:eastAsia="仿宋_GB2312" w:hAnsi="仿宋_GB2312" w:hint="eastAsia"/>
          <w:b w:val="false"/>
          <w:bCs w:val="false"/>
          <w:kern w:val="0"/>
          <w:sz w:val="32"/>
          <w:szCs w:val="32"/>
          <w:lang w:val="en-US" w:eastAsia="zh-CN"/>
        </w:rPr>
        <w:t>%，服务采购授予中小企业合同金额占服务支出金额的</w:t>
      </w:r>
      <w:r>
        <w:rPr>
          <w:rFonts w:ascii="仿宋_GB2312" w:cs="仿宋_GB2312" w:eastAsia="仿宋_GB2312" w:hAnsi="仿宋_GB2312" w:hint="default"/>
          <w:b w:val="false"/>
          <w:bCs w:val="false"/>
          <w:kern w:val="0"/>
          <w:sz w:val="32"/>
          <w:szCs w:val="32"/>
          <w:lang w:val="en-US" w:eastAsia="zh-CN"/>
        </w:rPr>
        <w:t>0</w:t>
      </w:r>
      <w:r>
        <w:rPr>
          <w:rFonts w:ascii="仿宋_GB2312" w:cs="仿宋_GB2312" w:eastAsia="仿宋_GB2312" w:hAnsi="仿宋_GB2312" w:hint="eastAsia"/>
          <w:b w:val="false"/>
          <w:bCs w:val="false"/>
          <w:kern w:val="0"/>
          <w:sz w:val="32"/>
          <w:szCs w:val="32"/>
          <w:lang w:val="en-US" w:eastAsia="zh-CN"/>
        </w:rPr>
        <w:t>%。</w:t>
      </w:r>
    </w:p>
    <w:p w14:paraId="429F6E94">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val="en-US" w:eastAsia="zh-CN"/>
        </w:rPr>
      </w:pPr>
      <w:r>
        <w:rPr>
          <w:rFonts w:ascii="黑体" w:cs="黑体" w:eastAsia="黑体" w:hAnsi="黑体" w:hint="eastAsia"/>
          <w:b/>
          <w:bCs/>
          <w:kern w:val="0"/>
          <w:sz w:val="32"/>
          <w:szCs w:val="32"/>
          <w:lang w:val="en-US" w:eastAsia="zh-CN"/>
        </w:rPr>
        <w:t>十三、国有资产占用情况说明</w:t>
      </w:r>
    </w:p>
    <w:p w14:paraId="016D4E3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 截至</w:t>
      </w:r>
      <w:r>
        <w:rPr>
          <w:rFonts w:ascii="仿宋_GB2312" w:cs="仿宋_GB2312" w:eastAsia="仿宋_GB2312" w:hAnsi="仿宋_GB2312" w:hint="default"/>
          <w:b w:val="false"/>
          <w:bCs w:val="false"/>
          <w:kern w:val="0"/>
          <w:sz w:val="32"/>
          <w:szCs w:val="32"/>
          <w:lang w:val="en-US" w:eastAsia="zh-CN"/>
        </w:rPr>
        <w:t>2024</w:t>
      </w:r>
      <w:r>
        <w:rPr>
          <w:rFonts w:ascii="仿宋_GB2312" w:cs="仿宋_GB2312" w:eastAsia="仿宋_GB2312" w:hAnsi="仿宋_GB2312" w:hint="eastAsia"/>
          <w:b w:val="false"/>
          <w:bCs w:val="false"/>
          <w:kern w:val="0"/>
          <w:sz w:val="32"/>
          <w:szCs w:val="32"/>
          <w:lang w:val="en-US" w:eastAsia="zh-CN"/>
        </w:rPr>
        <w:t>年</w:t>
      </w:r>
      <w:r>
        <w:rPr>
          <w:rFonts w:ascii="仿宋_GB2312" w:cs="仿宋_GB2312" w:eastAsia="仿宋_GB2312" w:hAnsi="仿宋_GB2312" w:hint="default"/>
          <w:b w:val="false"/>
          <w:bCs w:val="false"/>
          <w:kern w:val="0"/>
          <w:sz w:val="32"/>
          <w:szCs w:val="32"/>
          <w:lang w:val="en-US" w:eastAsia="zh-CN"/>
        </w:rPr>
        <w:t>12</w:t>
      </w:r>
      <w:r>
        <w:rPr>
          <w:rFonts w:ascii="仿宋_GB2312" w:cs="仿宋_GB2312" w:eastAsia="仿宋_GB2312" w:hAnsi="仿宋_GB2312" w:hint="eastAsia"/>
          <w:b w:val="false"/>
          <w:bCs w:val="false"/>
          <w:kern w:val="0"/>
          <w:sz w:val="32"/>
          <w:szCs w:val="32"/>
          <w:lang w:val="en-US" w:eastAsia="zh-CN"/>
        </w:rPr>
        <w:t>月</w:t>
      </w:r>
      <w:r>
        <w:rPr>
          <w:rFonts w:ascii="仿宋_GB2312" w:cs="仿宋_GB2312" w:eastAsia="仿宋_GB2312" w:hAnsi="仿宋_GB2312" w:hint="default"/>
          <w:b w:val="false"/>
          <w:bCs w:val="false"/>
          <w:kern w:val="0"/>
          <w:sz w:val="32"/>
          <w:szCs w:val="32"/>
          <w:lang w:val="en-US" w:eastAsia="zh-CN"/>
        </w:rPr>
        <w:t>31</w:t>
      </w:r>
      <w:r>
        <w:rPr>
          <w:rFonts w:ascii="仿宋_GB2312" w:cs="仿宋_GB2312" w:eastAsia="仿宋_GB2312" w:hAnsi="仿宋_GB2312" w:hint="eastAsia"/>
          <w:b w:val="false"/>
          <w:bCs w:val="false"/>
          <w:kern w:val="0"/>
          <w:sz w:val="32"/>
          <w:szCs w:val="32"/>
          <w:lang w:val="en-US" w:eastAsia="zh-CN"/>
        </w:rPr>
        <w:t>日，本部门（单位）共有车辆</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辆，其中：副部（省）级及以上领导用车</w:t>
      </w:r>
      <w:r>
        <w:rPr>
          <w:rFonts w:ascii="仿宋_GB2312" w:cs="仿宋_GB2312" w:eastAsia="仿宋_GB2312" w:hAnsi="仿宋_GB2312" w:hint="default"/>
          <w:b w:val="false"/>
          <w:bCs w:val="false"/>
          <w:kern w:val="0"/>
          <w:sz w:val="32"/>
          <w:szCs w:val="32"/>
          <w:lang w:val="en-US" w:eastAsia="zh-CN"/>
        </w:rPr>
        <w:t>0 </w:t>
      </w:r>
      <w:r>
        <w:rPr>
          <w:rFonts w:ascii="仿宋_GB2312" w:cs="仿宋_GB2312" w:eastAsia="仿宋_GB2312" w:hAnsi="仿宋_GB2312" w:hint="eastAsia"/>
          <w:b w:val="false"/>
          <w:bCs w:val="false"/>
          <w:kern w:val="0"/>
          <w:sz w:val="32"/>
          <w:szCs w:val="32"/>
          <w:lang w:val="en-US" w:eastAsia="zh-CN"/>
        </w:rPr>
        <w:t>辆、主要负责人用车</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辆、机要通信用车</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辆、应急保障用车</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辆、执法执勤用车</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辆、特种专业技术用车</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辆、离退休干部服务用车</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辆，其他用车</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辆；单价100万元（含）以上的设备（不含车辆）</w:t>
      </w:r>
      <w:r>
        <w:rPr>
          <w:rFonts w:ascii="仿宋_GB2312" w:cs="仿宋_GB2312" w:eastAsia="仿宋_GB2312" w:hAnsi="仿宋_GB2312" w:hint="default"/>
          <w:b w:val="false"/>
          <w:bCs w:val="false"/>
          <w:kern w:val="0"/>
          <w:sz w:val="32"/>
          <w:szCs w:val="32"/>
          <w:lang w:val="en-US" w:eastAsia="zh-CN"/>
        </w:rPr>
        <w:t> 0</w:t>
      </w:r>
      <w:r>
        <w:rPr>
          <w:rFonts w:ascii="仿宋_GB2312" w:cs="仿宋_GB2312" w:eastAsia="仿宋_GB2312" w:hAnsi="仿宋_GB2312" w:hint="eastAsia"/>
          <w:b w:val="false"/>
          <w:bCs w:val="false"/>
          <w:kern w:val="0"/>
          <w:sz w:val="32"/>
          <w:szCs w:val="32"/>
          <w:lang w:val="en-US" w:eastAsia="zh-CN"/>
        </w:rPr>
        <w:t>台（套）。</w:t>
      </w:r>
    </w:p>
    <w:p w14:paraId="190C752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黑体" w:cs="黑体" w:eastAsia="黑体" w:hAnsi="黑体" w:hint="eastAsia"/>
          <w:b/>
          <w:bCs/>
          <w:kern w:val="0"/>
          <w:sz w:val="32"/>
          <w:szCs w:val="32"/>
          <w:lang w:val="en-US" w:eastAsia="zh-CN"/>
        </w:rPr>
      </w:pPr>
      <w:r>
        <w:rPr>
          <w:rFonts w:ascii="黑体" w:cs="黑体" w:eastAsia="黑体" w:hAnsi="黑体" w:hint="eastAsia"/>
          <w:b/>
          <w:bCs/>
          <w:kern w:val="0"/>
          <w:sz w:val="32"/>
          <w:szCs w:val="32"/>
          <w:lang w:val="en-US" w:eastAsia="zh-CN"/>
        </w:rPr>
        <w:t>十四、预算绩效情况说明</w:t>
      </w:r>
    </w:p>
    <w:p w14:paraId="13DF8D25">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楷体" w:cs="楷体" w:eastAsia="楷体" w:hAnsi="楷体" w:hint="eastAsia"/>
          <w:b w:val="false"/>
          <w:bCs w:val="false"/>
          <w:kern w:val="0"/>
          <w:sz w:val="32"/>
          <w:szCs w:val="32"/>
          <w:lang w:val="en-US" w:eastAsia="zh-CN"/>
        </w:rPr>
      </w:pPr>
      <w:r>
        <w:rPr>
          <w:rFonts w:ascii="楷体" w:cs="楷体" w:eastAsia="楷体" w:hAnsi="楷体" w:hint="eastAsia"/>
          <w:b w:val="false"/>
          <w:bCs w:val="false"/>
          <w:kern w:val="0"/>
          <w:sz w:val="32"/>
          <w:szCs w:val="32"/>
          <w:lang w:val="en-US" w:eastAsia="zh-CN"/>
        </w:rPr>
        <w:t>（一）预算绩效管理工作开展情况。</w:t>
      </w:r>
    </w:p>
    <w:p w14:paraId="4C2A953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 根据预算绩效管理要求组织对</w:t>
      </w:r>
      <w:r>
        <w:rPr>
          <w:rFonts w:ascii="仿宋_GB2312" w:cs="仿宋_GB2312" w:eastAsia="仿宋_GB2312" w:hAnsi="仿宋_GB2312" w:hint="default"/>
          <w:b w:val="false"/>
          <w:bCs w:val="false"/>
          <w:kern w:val="0"/>
          <w:sz w:val="32"/>
          <w:szCs w:val="32"/>
          <w:lang w:val="en-US" w:eastAsia="zh-CN"/>
        </w:rPr>
        <w:t>2024</w:t>
      </w:r>
      <w:r>
        <w:rPr>
          <w:rFonts w:ascii="仿宋_GB2312" w:cs="仿宋_GB2312" w:eastAsia="仿宋_GB2312" w:hAnsi="仿宋_GB2312" w:hint="eastAsia"/>
          <w:b w:val="false"/>
          <w:bCs w:val="false"/>
          <w:kern w:val="0"/>
          <w:sz w:val="32"/>
          <w:szCs w:val="32"/>
          <w:lang w:val="en-US" w:eastAsia="zh-CN"/>
        </w:rPr>
        <w:t>年一般公共预算项目支出全面开展绩效自评，其中一级项目0个，二级项目1个，共涉及资金10万元，占一般公共预算项目支出总额的</w:t>
      </w:r>
      <w:r>
        <w:rPr>
          <w:rFonts w:ascii="仿宋_GB2312" w:cs="仿宋_GB2312" w:eastAsia="仿宋_GB2312" w:hAnsi="仿宋_GB2312" w:hint="default"/>
          <w:b w:val="false"/>
          <w:bCs w:val="false"/>
          <w:kern w:val="0"/>
          <w:sz w:val="32"/>
          <w:szCs w:val="32"/>
          <w:lang w:val="en-US" w:eastAsia="zh-CN"/>
        </w:rPr>
        <w:t>100</w:t>
      </w:r>
      <w:r>
        <w:rPr>
          <w:rFonts w:ascii="仿宋_GB2312" w:cs="仿宋_GB2312" w:eastAsia="仿宋_GB2312" w:hAnsi="仿宋_GB2312" w:hint="eastAsia"/>
          <w:b w:val="false"/>
          <w:bCs w:val="false"/>
          <w:kern w:val="0"/>
          <w:sz w:val="32"/>
          <w:szCs w:val="32"/>
          <w:lang w:val="en-US" w:eastAsia="zh-CN"/>
        </w:rPr>
        <w:t>%；政府性基金预算项目0个，其中，一级项目0个，二级项目0个，共涉及资金0万元，占应纳入绩效自评的政府性基金预算项目支出总额的</w:t>
      </w:r>
      <w:r>
        <w:rPr>
          <w:rFonts w:ascii="仿宋_GB2312" w:cs="仿宋_GB2312" w:eastAsia="仿宋_GB2312" w:hAnsi="仿宋_GB2312" w:hint="default"/>
          <w:b w:val="false"/>
          <w:bCs w:val="false"/>
          <w:kern w:val="0"/>
          <w:sz w:val="32"/>
          <w:szCs w:val="32"/>
          <w:lang w:val="en-US" w:eastAsia="zh-CN"/>
        </w:rPr>
        <w:t>0%</w:t>
      </w:r>
      <w:r>
        <w:rPr>
          <w:rFonts w:ascii="仿宋_GB2312" w:cs="仿宋_GB2312" w:eastAsia="仿宋_GB2312" w:hAnsi="仿宋_GB2312" w:hint="eastAsia"/>
          <w:b w:val="false"/>
          <w:bCs w:val="false"/>
          <w:kern w:val="0"/>
          <w:sz w:val="32"/>
          <w:szCs w:val="32"/>
          <w:lang w:val="en-US" w:eastAsia="zh-CN"/>
        </w:rPr>
        <w:t>；   </w:t>
      </w:r>
    </w:p>
    <w:p w14:paraId="531EB493">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 xml:space="preserve">本单位2024年未开展重点项目绩效评价。 </w:t>
      </w:r>
    </w:p>
    <w:p w14:paraId="6AF5B95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楷体" w:cs="楷体" w:eastAsia="楷体" w:hAnsi="楷体" w:hint="eastAsia"/>
          <w:b w:val="false"/>
          <w:bCs w:val="false"/>
          <w:kern w:val="0"/>
          <w:sz w:val="32"/>
          <w:szCs w:val="32"/>
          <w:lang w:val="en-US" w:eastAsia="zh-CN"/>
        </w:rPr>
        <w:t>（二）单位决算中项目绩效自评结果。</w:t>
      </w:r>
    </w:p>
    <w:p w14:paraId="18B91A5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乌海市文化市场综合行政执法局 </w:t>
      </w:r>
      <w:r>
        <w:rPr>
          <w:rFonts w:ascii="仿宋_GB2312" w:cs="仿宋_GB2312" w:eastAsia="仿宋_GB2312" w:hAnsi="仿宋_GB2312" w:hint="default"/>
          <w:b w:val="false"/>
          <w:bCs w:val="false"/>
          <w:kern w:val="0"/>
          <w:sz w:val="32"/>
          <w:szCs w:val="32"/>
          <w:lang w:val="en-US" w:eastAsia="zh-CN"/>
        </w:rPr>
        <w:t>2024</w:t>
      </w:r>
      <w:r>
        <w:rPr>
          <w:rFonts w:ascii="仿宋_GB2312" w:cs="仿宋_GB2312" w:eastAsia="仿宋_GB2312" w:hAnsi="仿宋_GB2312" w:hint="eastAsia"/>
          <w:b w:val="false"/>
          <w:bCs w:val="false"/>
          <w:kern w:val="0"/>
          <w:sz w:val="32"/>
          <w:szCs w:val="32"/>
          <w:lang w:val="en-US" w:eastAsia="zh-CN"/>
        </w:rPr>
        <w:t>年度在决算中反映1个一般公共预算项目，以及0个政府性基金项目，共1个项目的绩效自评结果。</w:t>
      </w:r>
    </w:p>
    <w:p w14:paraId="252388C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执法办案费项目自评综述：根据年初设定的绩效目标，项目自评得分90分。全年预算数为10万元，执行数为10万元，完成预算的100%。项目绩效目标完成情况：2024年，我局执法人员培训10次，培训合格率达90%。发现的主要问题及原因：2024年各项执法工作进行有序，需要在各项活动中更精确成本。下一步改进措施：尽量以多种形式，优化资源配置，全方位开展各项宣传活动，提升执法办案水平。</w:t>
      </w:r>
    </w:p>
    <w:p w14:paraId="6320EFFE">
      <w:pPr>
        <w:pStyle w:val="style62"/>
        <w:rPr>
          <w:rFonts w:ascii="仿宋_GB2312" w:cs="仿宋_GB2312" w:eastAsia="仿宋_GB2312" w:hAnsi="仿宋_GB2312" w:hint="eastAsia"/>
          <w:b w:val="false"/>
          <w:bCs w:val="false"/>
          <w:kern w:val="0"/>
          <w:sz w:val="32"/>
          <w:szCs w:val="32"/>
          <w:lang w:val="en-US" w:eastAsia="zh-CN"/>
        </w:rPr>
      </w:pPr>
    </w:p>
    <w:p w14:paraId="05170AE8">
      <w:pPr>
        <w:pStyle w:val="style67"/>
        <w:rPr>
          <w:rFonts w:hint="eastAsia"/>
          <w:lang w:val="en-US" w:eastAsia="zh-CN"/>
        </w:rPr>
      </w:pPr>
    </w:p>
    <w:tbl>
      <w:tblPr>
        <w:tblStyle w:val="style105"/>
        <w:tblW w:w="5059"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ayout w:type="fixed"/>
        <w:tblCellMar>
          <w:top w:w="0" w:type="dxa"/>
          <w:left w:w="108" w:type="dxa"/>
          <w:bottom w:w="0" w:type="dxa"/>
          <w:right w:w="108" w:type="dxa"/>
        </w:tblCellMar>
      </w:tblPr>
      <w:tblGrid>
        <w:gridCol w:w="743"/>
        <w:gridCol w:w="744"/>
        <w:gridCol w:w="912"/>
        <w:gridCol w:w="809"/>
        <w:gridCol w:w="392"/>
        <w:gridCol w:w="734"/>
        <w:gridCol w:w="135"/>
        <w:gridCol w:w="345"/>
        <w:gridCol w:w="420"/>
        <w:gridCol w:w="101"/>
        <w:gridCol w:w="1045"/>
        <w:gridCol w:w="101"/>
        <w:gridCol w:w="584"/>
        <w:gridCol w:w="101"/>
        <w:gridCol w:w="613"/>
        <w:gridCol w:w="101"/>
        <w:gridCol w:w="636"/>
        <w:gridCol w:w="101"/>
      </w:tblGrid>
      <w:tr w14:paraId="49858654">
        <w:trPr>
          <w:gridAfter w:val="1"/>
          <w:wAfter w:w="58" w:type="pct"/>
          <w:trHeight w:val="1538" w:hRule="atLeast"/>
        </w:trPr>
        <w:tc>
          <w:tcPr>
            <w:tcW w:w="4941" w:type="pct"/>
            <w:gridSpan w:val="17"/>
            <w:tcBorders>
              <w:top w:val="single" w:sz="4" w:space="0" w:color="000000"/>
              <w:left w:val="single" w:sz="4" w:space="0" w:color="000000"/>
              <w:bottom w:val="single" w:sz="4" w:space="0" w:color="000000"/>
              <w:right w:val="single" w:sz="4" w:space="0" w:color="000000"/>
            </w:tcBorders>
            <w:shd w:val="clear" w:color="auto" w:fill="auto"/>
            <w:vAlign w:val="center"/>
          </w:tcPr>
          <w:p w14:paraId="545CA7D4">
            <w:pPr>
              <w:pStyle w:val="style0"/>
              <w:keepNext w:val="false"/>
              <w:keepLines w:val="false"/>
              <w:widowControl/>
              <w:suppressLineNumbers w:val="false"/>
              <w:jc w:val="center"/>
              <w:textAlignment w:val="center"/>
              <w:rPr>
                <w:rFonts w:ascii="Times New Roman" w:cs="Times New Roman" w:eastAsia="宋体" w:hAnsi="Times New Roman" w:hint="default"/>
                <w:b/>
                <w:bCs/>
                <w:i w:val="false"/>
                <w:iCs w:val="false"/>
                <w:color w:val="000000"/>
                <w:sz w:val="40"/>
                <w:szCs w:val="40"/>
                <w:u w:val="none"/>
              </w:rPr>
            </w:pPr>
            <w:r>
              <w:rPr>
                <w:rFonts w:ascii="Times New Roman" w:cs="Times New Roman" w:eastAsia="宋体" w:hAnsi="Times New Roman" w:hint="default"/>
                <w:b/>
                <w:bCs/>
                <w:i w:val="false"/>
                <w:iCs w:val="false"/>
                <w:color w:val="000000"/>
                <w:kern w:val="0"/>
                <w:sz w:val="40"/>
                <w:szCs w:val="40"/>
                <w:u w:val="none"/>
                <w:lang w:val="en-US" w:eastAsia="zh-CN"/>
              </w:rPr>
              <w:t>项目支出绩效自评表</w:t>
            </w:r>
            <w:r>
              <w:rPr>
                <w:rFonts w:ascii="Times New Roman" w:cs="Times New Roman" w:eastAsia="宋体" w:hAnsi="Times New Roman" w:hint="default"/>
                <w:b/>
                <w:bCs/>
                <w:i w:val="false"/>
                <w:iCs w:val="false"/>
                <w:color w:val="000000"/>
                <w:kern w:val="0"/>
                <w:sz w:val="40"/>
                <w:szCs w:val="40"/>
                <w:u w:val="none"/>
                <w:lang w:val="en-US" w:eastAsia="zh-CN"/>
              </w:rPr>
              <w:br/>
            </w:r>
            <w:r>
              <w:rPr>
                <w:rFonts w:ascii="Times New Roman" w:cs="Times New Roman" w:eastAsia="宋体" w:hAnsi="Times New Roman" w:hint="default"/>
                <w:b/>
                <w:bCs/>
                <w:i w:val="false"/>
                <w:iCs w:val="false"/>
                <w:color w:val="000000"/>
                <w:kern w:val="0"/>
                <w:sz w:val="40"/>
                <w:szCs w:val="40"/>
                <w:u w:val="none"/>
                <w:lang w:val="en-US" w:eastAsia="zh-CN"/>
              </w:rPr>
              <w:t>(202</w:t>
            </w:r>
            <w:r>
              <w:rPr>
                <w:rFonts w:cs="Times New Roman" w:hint="eastAsia"/>
                <w:b/>
                <w:bCs/>
                <w:i w:val="false"/>
                <w:iCs w:val="false"/>
                <w:color w:val="000000"/>
                <w:kern w:val="0"/>
                <w:sz w:val="40"/>
                <w:szCs w:val="40"/>
                <w:u w:val="none"/>
                <w:lang w:val="en-US" w:eastAsia="zh-CN"/>
              </w:rPr>
              <w:t>4</w:t>
            </w:r>
            <w:r>
              <w:rPr>
                <w:rFonts w:ascii="Times New Roman" w:cs="Times New Roman" w:eastAsia="宋体" w:hAnsi="Times New Roman" w:hint="default"/>
                <w:b/>
                <w:bCs/>
                <w:i w:val="false"/>
                <w:iCs w:val="false"/>
                <w:color w:val="000000"/>
                <w:kern w:val="0"/>
                <w:sz w:val="40"/>
                <w:szCs w:val="40"/>
                <w:u w:val="none"/>
                <w:lang w:val="en-US" w:eastAsia="zh-CN"/>
              </w:rPr>
              <w:t>年度）</w:t>
            </w:r>
          </w:p>
        </w:tc>
      </w:tr>
      <w:tr w14:paraId="17DD3C8B">
        <w:tblPrEx/>
        <w:trPr>
          <w:gridAfter w:val="1"/>
          <w:wAfter w:w="58" w:type="pct"/>
          <w:trHeight w:val="1116" w:hRule="atLeast"/>
        </w:trPr>
        <w:tc>
          <w:tcPr>
            <w:tcW w:w="8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887CCC0">
            <w:pPr>
              <w:pStyle w:val="style0"/>
              <w:keepNext w:val="false"/>
              <w:keepLines w:val="false"/>
              <w:widowControl/>
              <w:suppressLineNumbers w:val="false"/>
              <w:jc w:val="righ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项目名称</w:t>
            </w:r>
          </w:p>
        </w:tc>
        <w:tc>
          <w:tcPr>
            <w:tcW w:w="4078" w:type="pct"/>
            <w:gridSpan w:val="15"/>
            <w:tcBorders>
              <w:top w:val="single" w:sz="4" w:space="0" w:color="000000"/>
              <w:left w:val="single" w:sz="4" w:space="0" w:color="000000"/>
              <w:bottom w:val="single" w:sz="4" w:space="0" w:color="000000"/>
              <w:right w:val="single" w:sz="4" w:space="0" w:color="000000"/>
            </w:tcBorders>
            <w:shd w:val="clear" w:color="auto" w:fill="auto"/>
            <w:vAlign w:val="center"/>
          </w:tcPr>
          <w:p w14:paraId="0026D2DB">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执法办案费</w:t>
            </w:r>
          </w:p>
        </w:tc>
      </w:tr>
      <w:tr w14:paraId="7E1A79FF">
        <w:tblPrEx/>
        <w:trPr>
          <w:gridAfter w:val="1"/>
          <w:wAfter w:w="58" w:type="pct"/>
          <w:trHeight w:val="1122" w:hRule="atLeast"/>
        </w:trPr>
        <w:tc>
          <w:tcPr>
            <w:tcW w:w="862"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014F2FC">
            <w:pPr>
              <w:pStyle w:val="style0"/>
              <w:keepNext w:val="false"/>
              <w:keepLines w:val="false"/>
              <w:widowControl/>
              <w:suppressLineNumbers w:val="false"/>
              <w:jc w:val="righ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主管部门</w:t>
            </w:r>
          </w:p>
        </w:tc>
        <w:tc>
          <w:tcPr>
            <w:tcW w:w="165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281D9E7">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乌海市文体旅游广电局（部门）</w:t>
            </w:r>
          </w:p>
        </w:tc>
        <w:tc>
          <w:tcPr>
            <w:tcW w:w="52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741E37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kern w:val="0"/>
                <w:sz w:val="18"/>
                <w:szCs w:val="18"/>
                <w:u w:val="none"/>
                <w:lang w:val="en-US" w:eastAsia="zh-CN"/>
              </w:rPr>
            </w:pPr>
            <w:r>
              <w:rPr>
                <w:rFonts w:ascii="Times New Roman" w:cs="Times New Roman" w:eastAsia="宋体" w:hAnsi="Times New Roman" w:hint="default"/>
                <w:i w:val="false"/>
                <w:iCs w:val="false"/>
                <w:color w:val="000000"/>
                <w:kern w:val="0"/>
                <w:sz w:val="18"/>
                <w:szCs w:val="18"/>
                <w:u w:val="none"/>
                <w:lang w:val="en-US" w:eastAsia="zh-CN"/>
              </w:rPr>
              <w:t>实施</w:t>
            </w:r>
          </w:p>
          <w:p w14:paraId="5D016CD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单位</w:t>
            </w:r>
          </w:p>
        </w:tc>
        <w:tc>
          <w:tcPr>
            <w:tcW w:w="1904" w:type="pct"/>
            <w:gridSpan w:val="8"/>
            <w:tcBorders>
              <w:top w:val="single" w:sz="4" w:space="0" w:color="000000"/>
              <w:left w:val="single" w:sz="4" w:space="0" w:color="000000"/>
              <w:bottom w:val="single" w:sz="4" w:space="0" w:color="000000"/>
              <w:right w:val="single" w:sz="4" w:space="0" w:color="000000"/>
            </w:tcBorders>
            <w:shd w:val="clear" w:color="auto" w:fill="auto"/>
            <w:vAlign w:val="center"/>
          </w:tcPr>
          <w:p w14:paraId="7A6D048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乌海市文化市场综合行政执法局</w:t>
            </w:r>
          </w:p>
        </w:tc>
      </w:tr>
      <w:tr w14:paraId="22F8C988">
        <w:tblPrEx/>
        <w:trPr>
          <w:gridAfter w:val="1"/>
          <w:wAfter w:w="58" w:type="pct"/>
          <w:trHeight w:val="1146" w:hRule="atLeast"/>
        </w:trPr>
        <w:tc>
          <w:tcPr>
            <w:tcW w:w="8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432A7A1E">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项目资金</w:t>
            </w:r>
            <w:r>
              <w:rPr>
                <w:rFonts w:ascii="Times New Roman" w:cs="Times New Roman" w:eastAsia="宋体" w:hAnsi="Times New Roman" w:hint="default"/>
                <w:i w:val="false"/>
                <w:iCs w:val="false"/>
                <w:color w:val="000000"/>
                <w:kern w:val="0"/>
                <w:sz w:val="18"/>
                <w:szCs w:val="18"/>
                <w:u w:val="none"/>
                <w:lang w:val="en-US" w:eastAsia="zh-CN"/>
              </w:rPr>
              <w:br/>
            </w:r>
            <w:r>
              <w:rPr>
                <w:rFonts w:ascii="Times New Roman" w:cs="Times New Roman" w:eastAsia="宋体" w:hAnsi="Times New Roman" w:hint="default"/>
                <w:i w:val="false"/>
                <w:iCs w:val="false"/>
                <w:color w:val="000000"/>
                <w:kern w:val="0"/>
                <w:sz w:val="18"/>
                <w:szCs w:val="18"/>
                <w:u w:val="none"/>
                <w:lang w:val="en-US" w:eastAsia="zh-CN"/>
              </w:rPr>
              <w:t>（万元）</w:t>
            </w:r>
          </w:p>
        </w:tc>
        <w:tc>
          <w:tcPr>
            <w:tcW w:w="5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3CB0D57">
            <w:pPr>
              <w:pStyle w:val="style0"/>
              <w:rPr>
                <w:rFonts w:ascii="Times New Roman" w:cs="Times New Roman" w:eastAsia="宋体" w:hAnsi="Times New Roman" w:hint="default"/>
                <w:i w:val="false"/>
                <w:iCs w:val="false"/>
                <w:color w:val="000000"/>
                <w:sz w:val="18"/>
                <w:szCs w:val="18"/>
                <w:u w:val="none"/>
              </w:rPr>
            </w:pPr>
          </w:p>
        </w:tc>
        <w:tc>
          <w:tcPr>
            <w:tcW w:w="4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4CEE1E5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年初预算数</w:t>
            </w:r>
          </w:p>
        </w:tc>
        <w:tc>
          <w:tcPr>
            <w:tcW w:w="65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FFC894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全年预算数</w:t>
            </w:r>
          </w:p>
        </w:tc>
        <w:tc>
          <w:tcPr>
            <w:tcW w:w="52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2D8712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kern w:val="0"/>
                <w:sz w:val="18"/>
                <w:szCs w:val="18"/>
                <w:u w:val="none"/>
                <w:lang w:val="en-US" w:eastAsia="zh-CN"/>
              </w:rPr>
            </w:pPr>
            <w:r>
              <w:rPr>
                <w:rFonts w:ascii="Times New Roman" w:cs="Times New Roman" w:eastAsia="宋体" w:hAnsi="Times New Roman" w:hint="default"/>
                <w:i w:val="false"/>
                <w:iCs w:val="false"/>
                <w:color w:val="000000"/>
                <w:kern w:val="0"/>
                <w:sz w:val="18"/>
                <w:szCs w:val="18"/>
                <w:u w:val="none"/>
                <w:lang w:val="en-US" w:eastAsia="zh-CN"/>
              </w:rPr>
              <w:t>全年</w:t>
            </w:r>
          </w:p>
          <w:p w14:paraId="3A065D5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执行数</w:t>
            </w:r>
          </w:p>
        </w:tc>
        <w:tc>
          <w:tcPr>
            <w:tcW w:w="664"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CBF262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分值</w:t>
            </w:r>
          </w:p>
        </w:tc>
        <w:tc>
          <w:tcPr>
            <w:tcW w:w="81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56769E1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执行率（%）</w:t>
            </w:r>
          </w:p>
        </w:tc>
        <w:tc>
          <w:tcPr>
            <w:tcW w:w="42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FD45E4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得分</w:t>
            </w:r>
          </w:p>
        </w:tc>
      </w:tr>
      <w:tr w14:paraId="0C282B83">
        <w:tblPrEx/>
        <w:trPr>
          <w:gridAfter w:val="1"/>
          <w:wAfter w:w="58" w:type="pct"/>
          <w:trHeight w:val="1639" w:hRule="atLeast"/>
        </w:trPr>
        <w:tc>
          <w:tcPr>
            <w:tcW w:w="862" w:type="pct"/>
            <w:gridSpan w:val="2"/>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340D66DB">
            <w:pPr>
              <w:pStyle w:val="style0"/>
              <w:jc w:val="center"/>
              <w:rPr>
                <w:rFonts w:ascii="Times New Roman" w:cs="Times New Roman" w:eastAsia="宋体" w:hAnsi="Times New Roman" w:hint="default"/>
                <w:i w:val="false"/>
                <w:iCs w:val="false"/>
                <w:color w:val="000000"/>
                <w:sz w:val="18"/>
                <w:szCs w:val="18"/>
                <w:u w:val="none"/>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1E165DB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年度资金总额</w:t>
            </w:r>
          </w:p>
        </w:tc>
        <w:tc>
          <w:tcPr>
            <w:tcW w:w="4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D739789">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w:t>
            </w:r>
          </w:p>
        </w:tc>
        <w:tc>
          <w:tcPr>
            <w:tcW w:w="65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7A125B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w:t>
            </w:r>
          </w:p>
        </w:tc>
        <w:tc>
          <w:tcPr>
            <w:tcW w:w="52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6A9FCBEE">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w:t>
            </w:r>
          </w:p>
        </w:tc>
        <w:tc>
          <w:tcPr>
            <w:tcW w:w="664"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B67699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81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BD2072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100.00</w:t>
            </w:r>
          </w:p>
        </w:tc>
        <w:tc>
          <w:tcPr>
            <w:tcW w:w="42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013C534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r>
      <w:tr w14:paraId="0838CAED">
        <w:tblPrEx/>
        <w:trPr>
          <w:gridAfter w:val="1"/>
          <w:wAfter w:w="58" w:type="pct"/>
          <w:trHeight w:val="1776" w:hRule="atLeast"/>
        </w:trPr>
        <w:tc>
          <w:tcPr>
            <w:tcW w:w="862" w:type="pct"/>
            <w:gridSpan w:val="2"/>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7B87BBB6">
            <w:pPr>
              <w:pStyle w:val="style0"/>
              <w:jc w:val="center"/>
              <w:rPr>
                <w:rFonts w:ascii="Times New Roman" w:cs="Times New Roman" w:eastAsia="宋体" w:hAnsi="Times New Roman" w:hint="default"/>
                <w:i w:val="false"/>
                <w:iCs w:val="false"/>
                <w:color w:val="000000"/>
                <w:sz w:val="18"/>
                <w:szCs w:val="18"/>
                <w:u w:val="none"/>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D7B232">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其中：财政拨款</w:t>
            </w:r>
          </w:p>
        </w:tc>
        <w:tc>
          <w:tcPr>
            <w:tcW w:w="4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31BD694">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w:t>
            </w:r>
          </w:p>
        </w:tc>
        <w:tc>
          <w:tcPr>
            <w:tcW w:w="65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3574359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w:t>
            </w:r>
          </w:p>
        </w:tc>
        <w:tc>
          <w:tcPr>
            <w:tcW w:w="52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429F4D3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w:t>
            </w:r>
          </w:p>
        </w:tc>
        <w:tc>
          <w:tcPr>
            <w:tcW w:w="66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31B4A44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222222"/>
                <w:sz w:val="19"/>
                <w:szCs w:val="19"/>
                <w:u w:val="none"/>
              </w:rPr>
            </w:pPr>
            <w:r>
              <w:rPr>
                <w:rFonts w:ascii="Times New Roman" w:cs="Times New Roman" w:eastAsia="宋体" w:hAnsi="Times New Roman" w:hint="default"/>
                <w:i w:val="false"/>
                <w:iCs w:val="false"/>
                <w:color w:val="222222"/>
                <w:kern w:val="0"/>
                <w:sz w:val="19"/>
                <w:szCs w:val="19"/>
                <w:u w:val="none"/>
                <w:lang w:val="en-US" w:eastAsia="zh-CN"/>
              </w:rPr>
              <w:t>——</w:t>
            </w:r>
          </w:p>
        </w:tc>
        <w:tc>
          <w:tcPr>
            <w:tcW w:w="81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3A6F304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100.00</w:t>
            </w:r>
          </w:p>
        </w:tc>
        <w:tc>
          <w:tcPr>
            <w:tcW w:w="42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BFD93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222222"/>
                <w:sz w:val="19"/>
                <w:szCs w:val="19"/>
                <w:u w:val="none"/>
              </w:rPr>
            </w:pPr>
            <w:r>
              <w:rPr>
                <w:rFonts w:ascii="Times New Roman" w:cs="Times New Roman" w:eastAsia="宋体" w:hAnsi="Times New Roman" w:hint="default"/>
                <w:i w:val="false"/>
                <w:iCs w:val="false"/>
                <w:color w:val="222222"/>
                <w:kern w:val="0"/>
                <w:sz w:val="19"/>
                <w:szCs w:val="19"/>
                <w:u w:val="none"/>
                <w:lang w:val="en-US" w:eastAsia="zh-CN"/>
              </w:rPr>
              <w:t>——</w:t>
            </w:r>
          </w:p>
        </w:tc>
      </w:tr>
      <w:tr w14:paraId="6F7A6903">
        <w:tblPrEx/>
        <w:trPr>
          <w:gridAfter w:val="1"/>
          <w:wAfter w:w="58" w:type="pct"/>
          <w:trHeight w:val="1705" w:hRule="atLeast"/>
        </w:trPr>
        <w:tc>
          <w:tcPr>
            <w:tcW w:w="862" w:type="pct"/>
            <w:gridSpan w:val="2"/>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23D8558">
            <w:pPr>
              <w:pStyle w:val="style0"/>
              <w:jc w:val="center"/>
              <w:rPr>
                <w:rFonts w:ascii="Times New Roman" w:cs="Times New Roman" w:eastAsia="宋体" w:hAnsi="Times New Roman" w:hint="default"/>
                <w:i w:val="false"/>
                <w:iCs w:val="false"/>
                <w:color w:val="000000"/>
                <w:sz w:val="18"/>
                <w:szCs w:val="18"/>
                <w:u w:val="none"/>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2DC4D476">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上年结转资金</w:t>
            </w:r>
          </w:p>
        </w:tc>
        <w:tc>
          <w:tcPr>
            <w:tcW w:w="4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25E4A63">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0.00</w:t>
            </w:r>
          </w:p>
        </w:tc>
        <w:tc>
          <w:tcPr>
            <w:tcW w:w="65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55125F81">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0.00</w:t>
            </w:r>
          </w:p>
        </w:tc>
        <w:tc>
          <w:tcPr>
            <w:tcW w:w="52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3C01D06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0.00</w:t>
            </w:r>
          </w:p>
        </w:tc>
        <w:tc>
          <w:tcPr>
            <w:tcW w:w="66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CB04D7E">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222222"/>
                <w:sz w:val="19"/>
                <w:szCs w:val="19"/>
                <w:u w:val="none"/>
              </w:rPr>
            </w:pPr>
            <w:r>
              <w:rPr>
                <w:rFonts w:ascii="Times New Roman" w:cs="Times New Roman" w:eastAsia="宋体" w:hAnsi="Times New Roman" w:hint="default"/>
                <w:i w:val="false"/>
                <w:iCs w:val="false"/>
                <w:color w:val="222222"/>
                <w:kern w:val="0"/>
                <w:sz w:val="19"/>
                <w:szCs w:val="19"/>
                <w:u w:val="none"/>
                <w:lang w:val="en-US" w:eastAsia="zh-CN"/>
              </w:rPr>
              <w:t>——</w:t>
            </w:r>
          </w:p>
        </w:tc>
        <w:tc>
          <w:tcPr>
            <w:tcW w:w="81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29E9B9D6">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0</w:t>
            </w:r>
          </w:p>
        </w:tc>
        <w:tc>
          <w:tcPr>
            <w:tcW w:w="42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80F28B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222222"/>
                <w:sz w:val="19"/>
                <w:szCs w:val="19"/>
                <w:u w:val="none"/>
              </w:rPr>
            </w:pPr>
            <w:r>
              <w:rPr>
                <w:rFonts w:ascii="Times New Roman" w:cs="Times New Roman" w:eastAsia="宋体" w:hAnsi="Times New Roman" w:hint="default"/>
                <w:i w:val="false"/>
                <w:iCs w:val="false"/>
                <w:color w:val="222222"/>
                <w:kern w:val="0"/>
                <w:sz w:val="19"/>
                <w:szCs w:val="19"/>
                <w:u w:val="none"/>
                <w:lang w:val="en-US" w:eastAsia="zh-CN"/>
              </w:rPr>
              <w:t>——</w:t>
            </w:r>
          </w:p>
        </w:tc>
      </w:tr>
      <w:tr w14:paraId="3C9D75D8">
        <w:tblPrEx/>
        <w:trPr>
          <w:gridAfter w:val="1"/>
          <w:wAfter w:w="58" w:type="pct"/>
          <w:trHeight w:val="1440" w:hRule="atLeast"/>
        </w:trPr>
        <w:tc>
          <w:tcPr>
            <w:tcW w:w="862" w:type="pct"/>
            <w:gridSpan w:val="2"/>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61034B0D">
            <w:pPr>
              <w:pStyle w:val="style0"/>
              <w:jc w:val="center"/>
              <w:rPr>
                <w:rFonts w:ascii="Times New Roman" w:cs="Times New Roman" w:eastAsia="宋体" w:hAnsi="Times New Roman" w:hint="default"/>
                <w:i w:val="false"/>
                <w:iCs w:val="false"/>
                <w:color w:val="000000"/>
                <w:sz w:val="18"/>
                <w:szCs w:val="18"/>
                <w:u w:val="none"/>
              </w:rPr>
            </w:pPr>
          </w:p>
        </w:tc>
        <w:tc>
          <w:tcPr>
            <w:tcW w:w="52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6AF8F72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其他资金</w:t>
            </w:r>
          </w:p>
        </w:tc>
        <w:tc>
          <w:tcPr>
            <w:tcW w:w="469" w:type="pct"/>
            <w:tcBorders>
              <w:top w:val="single" w:sz="4" w:space="0" w:color="000000"/>
              <w:left w:val="single" w:sz="4" w:space="0" w:color="000000"/>
              <w:bottom w:val="single" w:sz="4" w:space="0" w:color="000000"/>
              <w:right w:val="single" w:sz="4" w:space="0" w:color="000000"/>
            </w:tcBorders>
            <w:shd w:val="clear" w:color="auto" w:fill="auto"/>
            <w:vAlign w:val="center"/>
          </w:tcPr>
          <w:p w14:paraId="37D62E71">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0.00</w:t>
            </w:r>
          </w:p>
        </w:tc>
        <w:tc>
          <w:tcPr>
            <w:tcW w:w="653"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726B840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0.00</w:t>
            </w:r>
          </w:p>
        </w:tc>
        <w:tc>
          <w:tcPr>
            <w:tcW w:w="52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14:paraId="5116115E">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0.00</w:t>
            </w:r>
          </w:p>
        </w:tc>
        <w:tc>
          <w:tcPr>
            <w:tcW w:w="664"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5D6BF52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222222"/>
                <w:sz w:val="19"/>
                <w:szCs w:val="19"/>
                <w:u w:val="none"/>
              </w:rPr>
            </w:pPr>
            <w:r>
              <w:rPr>
                <w:rFonts w:ascii="Times New Roman" w:cs="Times New Roman" w:eastAsia="宋体" w:hAnsi="Times New Roman" w:hint="default"/>
                <w:i w:val="false"/>
                <w:iCs w:val="false"/>
                <w:color w:val="222222"/>
                <w:kern w:val="0"/>
                <w:sz w:val="19"/>
                <w:szCs w:val="19"/>
                <w:u w:val="none"/>
                <w:lang w:val="en-US" w:eastAsia="zh-CN"/>
              </w:rPr>
              <w:t>——</w:t>
            </w:r>
          </w:p>
        </w:tc>
        <w:tc>
          <w:tcPr>
            <w:tcW w:w="811" w:type="pct"/>
            <w:gridSpan w:val="4"/>
            <w:tcBorders>
              <w:top w:val="single" w:sz="4" w:space="0" w:color="000000"/>
              <w:left w:val="single" w:sz="4" w:space="0" w:color="000000"/>
              <w:bottom w:val="single" w:sz="4" w:space="0" w:color="000000"/>
              <w:right w:val="single" w:sz="4" w:space="0" w:color="000000"/>
            </w:tcBorders>
            <w:shd w:val="clear" w:color="auto" w:fill="auto"/>
            <w:vAlign w:val="center"/>
          </w:tcPr>
          <w:p w14:paraId="7F93501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0</w:t>
            </w:r>
          </w:p>
        </w:tc>
        <w:tc>
          <w:tcPr>
            <w:tcW w:w="427"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14:paraId="1B5F7DB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222222"/>
                <w:sz w:val="19"/>
                <w:szCs w:val="19"/>
                <w:u w:val="none"/>
              </w:rPr>
            </w:pPr>
            <w:r>
              <w:rPr>
                <w:rFonts w:ascii="Times New Roman" w:cs="Times New Roman" w:eastAsia="宋体" w:hAnsi="Times New Roman" w:hint="default"/>
                <w:i w:val="false"/>
                <w:iCs w:val="false"/>
                <w:color w:val="222222"/>
                <w:kern w:val="0"/>
                <w:sz w:val="19"/>
                <w:szCs w:val="19"/>
                <w:u w:val="none"/>
                <w:lang w:val="en-US" w:eastAsia="zh-CN"/>
              </w:rPr>
              <w:t>——</w:t>
            </w:r>
          </w:p>
        </w:tc>
      </w:tr>
      <w:tr w14:paraId="390D34CF">
        <w:tblPrEx/>
        <w:trPr>
          <w:gridAfter w:val="1"/>
          <w:wAfter w:w="58" w:type="pct"/>
          <w:trHeight w:val="380" w:hRule="atLeast"/>
        </w:trPr>
        <w:tc>
          <w:tcPr>
            <w:tcW w:w="862" w:type="pct"/>
            <w:gridSpan w:val="2"/>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0749672E">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年度总体目标</w:t>
            </w:r>
          </w:p>
        </w:tc>
        <w:tc>
          <w:tcPr>
            <w:tcW w:w="173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31997156">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预期目标</w:t>
            </w:r>
          </w:p>
        </w:tc>
        <w:tc>
          <w:tcPr>
            <w:tcW w:w="2348"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7BDB2BA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实际完成情况</w:t>
            </w:r>
          </w:p>
        </w:tc>
      </w:tr>
      <w:tr w14:paraId="79DE2A54">
        <w:tblPrEx/>
        <w:trPr>
          <w:gridAfter w:val="1"/>
          <w:wAfter w:w="58" w:type="pct"/>
          <w:trHeight w:val="8085" w:hRule="atLeast"/>
        </w:trPr>
        <w:tc>
          <w:tcPr>
            <w:tcW w:w="862" w:type="pct"/>
            <w:gridSpan w:val="2"/>
            <w:vMerge w:val="continue"/>
            <w:tcBorders>
              <w:top w:val="single" w:sz="4" w:space="0" w:color="000000"/>
              <w:left w:val="single" w:sz="4" w:space="0" w:color="000000"/>
              <w:bottom w:val="single" w:sz="4" w:space="0" w:color="000000"/>
              <w:right w:val="single" w:sz="4" w:space="0" w:color="000000"/>
            </w:tcBorders>
            <w:shd w:val="clear" w:color="auto" w:fill="auto"/>
            <w:vAlign w:val="center"/>
          </w:tcPr>
          <w:p w14:paraId="43E672BB">
            <w:pPr>
              <w:pStyle w:val="style0"/>
              <w:jc w:val="center"/>
              <w:rPr>
                <w:rFonts w:ascii="Times New Roman" w:cs="Times New Roman" w:eastAsia="宋体" w:hAnsi="Times New Roman" w:hint="default"/>
                <w:i w:val="false"/>
                <w:iCs w:val="false"/>
                <w:color w:val="000000"/>
                <w:sz w:val="18"/>
                <w:szCs w:val="18"/>
                <w:u w:val="none"/>
              </w:rPr>
            </w:pPr>
          </w:p>
        </w:tc>
        <w:tc>
          <w:tcPr>
            <w:tcW w:w="1730"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14:paraId="0823B49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目标1：业务培训，对执法人员举办法制和执法培训，对业主举办普法培训，以及专题培训。</w:t>
            </w:r>
            <w:r>
              <w:rPr>
                <w:rFonts w:ascii="Times New Roman" w:cs="Times New Roman" w:eastAsia="宋体" w:hAnsi="Times New Roman" w:hint="default"/>
                <w:i w:val="false"/>
                <w:iCs w:val="false"/>
                <w:color w:val="000000"/>
                <w:kern w:val="0"/>
                <w:sz w:val="18"/>
                <w:szCs w:val="18"/>
                <w:u w:val="none"/>
                <w:lang w:val="en-US" w:eastAsia="zh-CN"/>
              </w:rPr>
              <w:br/>
            </w:r>
            <w:r>
              <w:rPr>
                <w:rFonts w:ascii="Times New Roman" w:cs="Times New Roman" w:eastAsia="宋体" w:hAnsi="Times New Roman" w:hint="default"/>
                <w:i w:val="false"/>
                <w:iCs w:val="false"/>
                <w:color w:val="000000"/>
                <w:kern w:val="0"/>
                <w:sz w:val="18"/>
                <w:szCs w:val="18"/>
                <w:u w:val="none"/>
                <w:lang w:val="en-US" w:eastAsia="zh-CN"/>
              </w:rPr>
              <w:t>目标2：普法宣传，重要时间节点，重大活动，专项行动开展主题宣传活动。</w:t>
            </w:r>
          </w:p>
        </w:tc>
        <w:tc>
          <w:tcPr>
            <w:tcW w:w="2348" w:type="pct"/>
            <w:gridSpan w:val="10"/>
            <w:tcBorders>
              <w:top w:val="single" w:sz="4" w:space="0" w:color="000000"/>
              <w:left w:val="single" w:sz="4" w:space="0" w:color="000000"/>
              <w:bottom w:val="single" w:sz="4" w:space="0" w:color="000000"/>
              <w:right w:val="single" w:sz="4" w:space="0" w:color="000000"/>
            </w:tcBorders>
            <w:shd w:val="clear" w:color="auto" w:fill="auto"/>
            <w:vAlign w:val="center"/>
          </w:tcPr>
          <w:p w14:paraId="1EC8739C">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一）全面强化文旅市场日常监管。今年以来，通过随机抽查、错时巡查、日常检查等方式，持续保持严厉打击文化和旅游市场违法违规经营行为的高压态势，共出动执法人员7049人次，检查场所2471家次，受理并办结举报投诉8件，办结行政处罚案件23件并全部公开</w:t>
            </w:r>
            <w:r>
              <w:rPr>
                <w:rFonts w:ascii="Times New Roman" w:cs="Times New Roman" w:eastAsia="宋体" w:hAnsi="Times New Roman" w:hint="eastAsia"/>
                <w:i w:val="false"/>
                <w:iCs w:val="false"/>
                <w:color w:val="000000"/>
                <w:kern w:val="0"/>
                <w:sz w:val="18"/>
                <w:szCs w:val="18"/>
                <w:u w:val="none"/>
                <w:lang w:val="en-US" w:eastAsia="zh-CN"/>
              </w:rPr>
              <w:t>。</w:t>
            </w:r>
            <w:r>
              <w:rPr>
                <w:rFonts w:ascii="Times New Roman" w:cs="Times New Roman" w:eastAsia="宋体" w:hAnsi="Times New Roman" w:hint="default"/>
                <w:i w:val="false"/>
                <w:iCs w:val="false"/>
                <w:color w:val="000000"/>
                <w:kern w:val="0"/>
                <w:sz w:val="18"/>
                <w:szCs w:val="18"/>
                <w:u w:val="none"/>
                <w:lang w:val="en-US" w:eastAsia="zh-CN"/>
              </w:rPr>
              <w:t>（二）深入开展“扫黄打非”。开展涉宗教出版物及印刷品、寄递渠道、校园及周边等专项检查，举办“4.26”知识产权日活动现场集中销毁各类非法出版物463册，加大对歌舞娱乐场所曲库、营业性演出活动、旅行社和景区宣传涉禁止类内容的巡查检查。（三）持续发力筑牢文旅市场安全生产防线。按照重大事故隐患专项排查整治202</w:t>
            </w:r>
            <w:r>
              <w:rPr>
                <w:rFonts w:cs="Times New Roman" w:hint="eastAsia"/>
                <w:i w:val="false"/>
                <w:iCs w:val="false"/>
                <w:color w:val="000000"/>
                <w:kern w:val="0"/>
                <w:sz w:val="18"/>
                <w:szCs w:val="18"/>
                <w:u w:val="none"/>
                <w:lang w:val="en-US" w:eastAsia="zh-CN"/>
              </w:rPr>
              <w:t>4</w:t>
            </w:r>
            <w:r>
              <w:rPr>
                <w:rFonts w:ascii="Times New Roman" w:cs="Times New Roman" w:eastAsia="宋体" w:hAnsi="Times New Roman" w:hint="default"/>
                <w:i w:val="false"/>
                <w:iCs w:val="false"/>
                <w:color w:val="000000"/>
                <w:kern w:val="0"/>
                <w:sz w:val="18"/>
                <w:szCs w:val="18"/>
                <w:u w:val="none"/>
                <w:lang w:val="en-US" w:eastAsia="zh-CN"/>
              </w:rPr>
              <w:t>行动部署，精准落实安全生产政策，深入排查安全隐患，督促各经营单位严格执行各类设施、场所、活动相关安全生产措施.（四）切实加强执法队伍建设。深入开展岗位练兵活动，有针对性的组织举办2期线下执法实务培训班，运用全国文化市场技术监管与服务平台“在线培训考试系统”完成线上执法培训学习和考试任务</w:t>
            </w:r>
            <w:r>
              <w:rPr>
                <w:rFonts w:cs="Times New Roman" w:hint="eastAsia"/>
                <w:i w:val="false"/>
                <w:iCs w:val="false"/>
                <w:color w:val="000000"/>
                <w:kern w:val="0"/>
                <w:sz w:val="18"/>
                <w:szCs w:val="18"/>
                <w:u w:val="none"/>
                <w:lang w:val="en-US" w:eastAsia="zh-CN"/>
              </w:rPr>
              <w:t>。</w:t>
            </w:r>
            <w:r>
              <w:rPr>
                <w:rFonts w:ascii="Times New Roman" w:cs="Times New Roman" w:eastAsia="宋体" w:hAnsi="Times New Roman" w:hint="default"/>
                <w:i w:val="false"/>
                <w:iCs w:val="false"/>
                <w:color w:val="000000"/>
                <w:kern w:val="0"/>
                <w:sz w:val="18"/>
                <w:szCs w:val="18"/>
                <w:u w:val="none"/>
                <w:lang w:val="en-US" w:eastAsia="zh-CN"/>
              </w:rPr>
              <w:t>开展本年度案卷评查，促进严格规范公正文明执法，1件案卷参加全市案卷评查被评为优秀案卷。</w:t>
            </w:r>
          </w:p>
        </w:tc>
      </w:tr>
      <w:tr w14:paraId="55141FE7">
        <w:tblPrEx/>
        <w:trPr>
          <w:trHeight w:val="380" w:hRule="atLeast"/>
        </w:trPr>
        <w:tc>
          <w:tcPr>
            <w:tcW w:w="431" w:type="pct"/>
            <w:tcBorders>
              <w:top w:val="single" w:sz="4" w:space="0" w:color="000000"/>
              <w:left w:val="single" w:sz="4" w:space="0" w:color="000000"/>
              <w:bottom w:val="single" w:sz="4" w:space="0" w:color="auto"/>
              <w:right w:val="single" w:sz="4" w:space="0" w:color="000000"/>
            </w:tcBorders>
            <w:shd w:val="clear" w:color="auto" w:fill="auto"/>
            <w:vAlign w:val="center"/>
          </w:tcPr>
          <w:p w14:paraId="2868B4D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绩效指标</w:t>
            </w:r>
          </w:p>
        </w:tc>
        <w:tc>
          <w:tcPr>
            <w:tcW w:w="431" w:type="pct"/>
            <w:tcBorders>
              <w:top w:val="single" w:sz="4" w:space="0" w:color="000000"/>
              <w:left w:val="single" w:sz="4" w:space="0" w:color="000000"/>
              <w:bottom w:val="single" w:sz="4" w:space="0" w:color="auto"/>
              <w:right w:val="single" w:sz="4" w:space="0" w:color="000000"/>
            </w:tcBorders>
            <w:shd w:val="clear" w:color="auto" w:fill="auto"/>
            <w:vAlign w:val="center"/>
          </w:tcPr>
          <w:p w14:paraId="4B45108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一级指标</w:t>
            </w:r>
          </w:p>
        </w:tc>
        <w:tc>
          <w:tcPr>
            <w:tcW w:w="529" w:type="pct"/>
            <w:tcBorders>
              <w:top w:val="single" w:sz="4" w:space="0" w:color="000000"/>
              <w:left w:val="single" w:sz="4" w:space="0" w:color="000000"/>
              <w:bottom w:val="single" w:sz="4" w:space="0" w:color="auto"/>
              <w:right w:val="single" w:sz="4" w:space="0" w:color="000000"/>
            </w:tcBorders>
            <w:shd w:val="clear" w:color="auto" w:fill="auto"/>
            <w:vAlign w:val="center"/>
          </w:tcPr>
          <w:p w14:paraId="442CFA9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kern w:val="0"/>
                <w:sz w:val="18"/>
                <w:szCs w:val="18"/>
                <w:u w:val="none"/>
                <w:lang w:val="en-US" w:eastAsia="zh-CN"/>
              </w:rPr>
            </w:pPr>
            <w:r>
              <w:rPr>
                <w:rFonts w:ascii="Times New Roman" w:cs="Times New Roman" w:eastAsia="宋体" w:hAnsi="Times New Roman" w:hint="default"/>
                <w:i w:val="false"/>
                <w:iCs w:val="false"/>
                <w:color w:val="000000"/>
                <w:kern w:val="0"/>
                <w:sz w:val="18"/>
                <w:szCs w:val="18"/>
                <w:u w:val="none"/>
                <w:lang w:val="en-US" w:eastAsia="zh-CN"/>
              </w:rPr>
              <w:t>二级</w:t>
            </w:r>
          </w:p>
          <w:p w14:paraId="380863F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指标</w:t>
            </w:r>
          </w:p>
        </w:tc>
        <w:tc>
          <w:tcPr>
            <w:tcW w:w="469" w:type="pct"/>
            <w:tcBorders>
              <w:top w:val="single" w:sz="4" w:space="0" w:color="000000"/>
              <w:left w:val="single" w:sz="4" w:space="0" w:color="000000"/>
              <w:bottom w:val="single" w:sz="4" w:space="0" w:color="auto"/>
              <w:right w:val="single" w:sz="4" w:space="0" w:color="000000"/>
            </w:tcBorders>
            <w:shd w:val="clear" w:color="auto" w:fill="auto"/>
            <w:vAlign w:val="center"/>
          </w:tcPr>
          <w:p w14:paraId="143E425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kern w:val="0"/>
                <w:sz w:val="18"/>
                <w:szCs w:val="18"/>
                <w:u w:val="none"/>
                <w:lang w:val="en-US" w:eastAsia="zh-CN"/>
              </w:rPr>
            </w:pPr>
            <w:r>
              <w:rPr>
                <w:rFonts w:ascii="Times New Roman" w:cs="Times New Roman" w:eastAsia="宋体" w:hAnsi="Times New Roman" w:hint="default"/>
                <w:i w:val="false"/>
                <w:iCs w:val="false"/>
                <w:color w:val="000000"/>
                <w:kern w:val="0"/>
                <w:sz w:val="18"/>
                <w:szCs w:val="18"/>
                <w:u w:val="none"/>
                <w:lang w:val="en-US" w:eastAsia="zh-CN"/>
              </w:rPr>
              <w:t>三级</w:t>
            </w:r>
          </w:p>
          <w:p w14:paraId="6318C18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指标</w:t>
            </w:r>
          </w:p>
        </w:tc>
        <w:tc>
          <w:tcPr>
            <w:tcW w:w="227" w:type="pct"/>
            <w:tcBorders>
              <w:top w:val="single" w:sz="4" w:space="0" w:color="000000"/>
              <w:left w:val="single" w:sz="4" w:space="0" w:color="000000"/>
              <w:bottom w:val="single" w:sz="4" w:space="0" w:color="auto"/>
              <w:right w:val="single" w:sz="4" w:space="0" w:color="000000"/>
            </w:tcBorders>
            <w:shd w:val="clear" w:color="auto" w:fill="auto"/>
            <w:vAlign w:val="center"/>
          </w:tcPr>
          <w:p w14:paraId="121CB46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指标性质</w:t>
            </w:r>
          </w:p>
        </w:tc>
        <w:tc>
          <w:tcPr>
            <w:tcW w:w="425" w:type="pct"/>
            <w:tcBorders>
              <w:top w:val="single" w:sz="4" w:space="0" w:color="000000"/>
              <w:left w:val="single" w:sz="4" w:space="0" w:color="000000"/>
              <w:bottom w:val="single" w:sz="4" w:space="0" w:color="auto"/>
              <w:right w:val="single" w:sz="4" w:space="0" w:color="000000"/>
            </w:tcBorders>
            <w:shd w:val="clear" w:color="auto" w:fill="auto"/>
            <w:vAlign w:val="center"/>
          </w:tcPr>
          <w:p w14:paraId="4F4C241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指标方向</w:t>
            </w:r>
          </w:p>
        </w:tc>
        <w:tc>
          <w:tcPr>
            <w:tcW w:w="278"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7F76AA1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年度指标值</w:t>
            </w:r>
          </w:p>
        </w:tc>
        <w:tc>
          <w:tcPr>
            <w:tcW w:w="302"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0FFB518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实际完成值</w:t>
            </w:r>
          </w:p>
        </w:tc>
        <w:tc>
          <w:tcPr>
            <w:tcW w:w="664"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47E22DB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计量单位</w:t>
            </w:r>
          </w:p>
        </w:tc>
        <w:tc>
          <w:tcPr>
            <w:tcW w:w="397"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1FC7A65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分值</w:t>
            </w:r>
          </w:p>
        </w:tc>
        <w:tc>
          <w:tcPr>
            <w:tcW w:w="414"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0379C4A1">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得分</w:t>
            </w:r>
          </w:p>
        </w:tc>
        <w:tc>
          <w:tcPr>
            <w:tcW w:w="427" w:type="pct"/>
            <w:gridSpan w:val="2"/>
            <w:tcBorders>
              <w:top w:val="single" w:sz="4" w:space="0" w:color="000000"/>
              <w:left w:val="single" w:sz="4" w:space="0" w:color="000000"/>
              <w:bottom w:val="single" w:sz="4" w:space="0" w:color="auto"/>
              <w:right w:val="single" w:sz="4" w:space="0" w:color="000000"/>
            </w:tcBorders>
            <w:shd w:val="clear" w:color="auto" w:fill="auto"/>
            <w:vAlign w:val="center"/>
          </w:tcPr>
          <w:p w14:paraId="72EE9AC7">
            <w:pPr>
              <w:pStyle w:val="style0"/>
              <w:keepNext w:val="false"/>
              <w:keepLines w:val="false"/>
              <w:widowControl/>
              <w:suppressLineNumbers w:val="false"/>
              <w:jc w:val="left"/>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偏差原因分析及改进措施</w:t>
            </w:r>
          </w:p>
        </w:tc>
      </w:tr>
      <w:tr w14:paraId="1F1BE40D">
        <w:tblPrEx/>
        <w:trPr>
          <w:trHeight w:val="840" w:hRule="atLeast"/>
        </w:trPr>
        <w:tc>
          <w:tcPr>
            <w:tcW w:w="43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2476982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绩效指标</w:t>
            </w:r>
          </w:p>
        </w:tc>
        <w:tc>
          <w:tcPr>
            <w:tcW w:w="431"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073FC07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产出指标</w:t>
            </w:r>
          </w:p>
        </w:tc>
        <w:tc>
          <w:tcPr>
            <w:tcW w:w="52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903A89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数量指标</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612C84C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执法人员培训次数</w:t>
            </w:r>
          </w:p>
        </w:tc>
        <w:tc>
          <w:tcPr>
            <w:tcW w:w="227" w:type="pct"/>
            <w:tcBorders>
              <w:top w:val="single" w:sz="4" w:space="0" w:color="auto"/>
              <w:left w:val="single" w:sz="4" w:space="0" w:color="auto"/>
              <w:bottom w:val="single" w:sz="4" w:space="0" w:color="auto"/>
              <w:right w:val="single" w:sz="4" w:space="0" w:color="auto"/>
            </w:tcBorders>
            <w:shd w:val="clear" w:color="auto" w:fill="auto"/>
            <w:vAlign w:val="center"/>
          </w:tcPr>
          <w:p w14:paraId="398D1B4E">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正向</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200B942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大于等于</w:t>
            </w:r>
          </w:p>
        </w:tc>
        <w:tc>
          <w:tcPr>
            <w:tcW w:w="2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26EF27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3BBA4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6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E5DE7E">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次</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6084A51">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41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3E51E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42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F69989">
            <w:pPr>
              <w:pStyle w:val="style0"/>
              <w:jc w:val="center"/>
              <w:rPr>
                <w:rFonts w:ascii="Times New Roman" w:cs="Times New Roman" w:eastAsia="宋体" w:hAnsi="Times New Roman" w:hint="default"/>
                <w:i w:val="false"/>
                <w:iCs w:val="false"/>
                <w:color w:val="000000"/>
                <w:sz w:val="18"/>
                <w:szCs w:val="18"/>
                <w:u w:val="none"/>
              </w:rPr>
            </w:pPr>
          </w:p>
        </w:tc>
      </w:tr>
      <w:tr w14:paraId="677ABD46">
        <w:tblPrEx/>
        <w:trPr>
          <w:trHeight w:val="840" w:hRule="atLeast"/>
        </w:trPr>
        <w:tc>
          <w:tcPr>
            <w:tcW w:w="431" w:type="pct"/>
            <w:vMerge w:val="continue"/>
            <w:tcBorders>
              <w:top w:val="single" w:sz="4" w:space="0" w:color="auto"/>
              <w:left w:val="single" w:sz="4" w:space="0" w:color="auto"/>
              <w:bottom w:val="single" w:sz="4" w:space="0" w:color="auto"/>
              <w:right w:val="single" w:sz="4" w:space="0" w:color="auto"/>
            </w:tcBorders>
            <w:shd w:val="clear" w:color="auto" w:fill="auto"/>
            <w:vAlign w:val="center"/>
          </w:tcPr>
          <w:p w14:paraId="2A8115E0">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auto"/>
              <w:left w:val="single" w:sz="4" w:space="0" w:color="auto"/>
              <w:bottom w:val="single" w:sz="4" w:space="0" w:color="auto"/>
              <w:right w:val="single" w:sz="4" w:space="0" w:color="auto"/>
            </w:tcBorders>
            <w:shd w:val="clear" w:color="auto" w:fill="auto"/>
            <w:vAlign w:val="center"/>
          </w:tcPr>
          <w:p w14:paraId="16276897">
            <w:pPr>
              <w:pStyle w:val="style0"/>
              <w:jc w:val="center"/>
              <w:rPr>
                <w:rFonts w:ascii="Times New Roman" w:cs="Times New Roman" w:eastAsia="宋体" w:hAnsi="Times New Roman" w:hint="default"/>
                <w:i w:val="false"/>
                <w:iCs w:val="false"/>
                <w:color w:val="000000"/>
                <w:sz w:val="18"/>
                <w:szCs w:val="18"/>
                <w:u w:val="none"/>
              </w:rPr>
            </w:pPr>
          </w:p>
        </w:tc>
        <w:tc>
          <w:tcPr>
            <w:tcW w:w="529" w:type="pct"/>
            <w:vMerge w:val="continue"/>
            <w:tcBorders>
              <w:top w:val="single" w:sz="4" w:space="0" w:color="auto"/>
              <w:left w:val="single" w:sz="4" w:space="0" w:color="auto"/>
              <w:bottom w:val="single" w:sz="4" w:space="0" w:color="auto"/>
              <w:right w:val="single" w:sz="4" w:space="0" w:color="auto"/>
            </w:tcBorders>
            <w:shd w:val="clear" w:color="auto" w:fill="auto"/>
            <w:vAlign w:val="center"/>
          </w:tcPr>
          <w:p w14:paraId="20E4712F">
            <w:pPr>
              <w:pStyle w:val="style0"/>
              <w:jc w:val="center"/>
              <w:rPr>
                <w:rFonts w:ascii="Times New Roman" w:cs="Times New Roman" w:eastAsia="宋体" w:hAnsi="Times New Roman" w:hint="default"/>
                <w:i w:val="false"/>
                <w:iCs w:val="false"/>
                <w:color w:val="000000"/>
                <w:sz w:val="18"/>
                <w:szCs w:val="18"/>
                <w:u w:val="none"/>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157F8E8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业主培训次数</w:t>
            </w:r>
          </w:p>
        </w:tc>
        <w:tc>
          <w:tcPr>
            <w:tcW w:w="227" w:type="pct"/>
            <w:tcBorders>
              <w:top w:val="single" w:sz="4" w:space="0" w:color="auto"/>
              <w:left w:val="single" w:sz="4" w:space="0" w:color="auto"/>
              <w:bottom w:val="single" w:sz="4" w:space="0" w:color="auto"/>
              <w:right w:val="single" w:sz="4" w:space="0" w:color="auto"/>
            </w:tcBorders>
            <w:shd w:val="clear" w:color="auto" w:fill="auto"/>
            <w:vAlign w:val="center"/>
          </w:tcPr>
          <w:p w14:paraId="1462619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正向</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755B63C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大于等于</w:t>
            </w:r>
          </w:p>
        </w:tc>
        <w:tc>
          <w:tcPr>
            <w:tcW w:w="2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E21A6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2</w:t>
            </w:r>
          </w:p>
        </w:tc>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1F6D00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2</w:t>
            </w:r>
          </w:p>
        </w:tc>
        <w:tc>
          <w:tcPr>
            <w:tcW w:w="6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B4B2E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次</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04B01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1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49912F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2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CCA12AD">
            <w:pPr>
              <w:pStyle w:val="style0"/>
              <w:jc w:val="center"/>
              <w:rPr>
                <w:rFonts w:ascii="Times New Roman" w:cs="Times New Roman" w:eastAsia="宋体" w:hAnsi="Times New Roman" w:hint="default"/>
                <w:i w:val="false"/>
                <w:iCs w:val="false"/>
                <w:color w:val="000000"/>
                <w:sz w:val="18"/>
                <w:szCs w:val="18"/>
                <w:u w:val="none"/>
              </w:rPr>
            </w:pPr>
          </w:p>
        </w:tc>
      </w:tr>
      <w:tr w14:paraId="6445F3D4">
        <w:tblPrEx/>
        <w:trPr>
          <w:trHeight w:val="840" w:hRule="atLeast"/>
        </w:trPr>
        <w:tc>
          <w:tcPr>
            <w:tcW w:w="431" w:type="pct"/>
            <w:vMerge w:val="continue"/>
            <w:tcBorders>
              <w:top w:val="single" w:sz="4" w:space="0" w:color="auto"/>
              <w:left w:val="single" w:sz="4" w:space="0" w:color="auto"/>
              <w:bottom w:val="single" w:sz="4" w:space="0" w:color="auto"/>
              <w:right w:val="single" w:sz="4" w:space="0" w:color="auto"/>
            </w:tcBorders>
            <w:shd w:val="clear" w:color="auto" w:fill="auto"/>
            <w:vAlign w:val="center"/>
          </w:tcPr>
          <w:p w14:paraId="69BCDF26">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auto"/>
              <w:left w:val="single" w:sz="4" w:space="0" w:color="auto"/>
              <w:bottom w:val="single" w:sz="4" w:space="0" w:color="auto"/>
              <w:right w:val="single" w:sz="4" w:space="0" w:color="auto"/>
            </w:tcBorders>
            <w:shd w:val="clear" w:color="auto" w:fill="auto"/>
            <w:vAlign w:val="center"/>
          </w:tcPr>
          <w:p w14:paraId="19CABC17">
            <w:pPr>
              <w:pStyle w:val="style0"/>
              <w:jc w:val="center"/>
              <w:rPr>
                <w:rFonts w:ascii="Times New Roman" w:cs="Times New Roman" w:eastAsia="宋体" w:hAnsi="Times New Roman" w:hint="default"/>
                <w:i w:val="false"/>
                <w:iCs w:val="false"/>
                <w:color w:val="000000"/>
                <w:sz w:val="18"/>
                <w:szCs w:val="18"/>
                <w:u w:val="none"/>
              </w:rPr>
            </w:pPr>
          </w:p>
        </w:tc>
        <w:tc>
          <w:tcPr>
            <w:tcW w:w="529" w:type="pct"/>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58B5885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质量指标</w:t>
            </w: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5253A21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业主参训率</w:t>
            </w:r>
          </w:p>
        </w:tc>
        <w:tc>
          <w:tcPr>
            <w:tcW w:w="227" w:type="pct"/>
            <w:tcBorders>
              <w:top w:val="single" w:sz="4" w:space="0" w:color="auto"/>
              <w:left w:val="single" w:sz="4" w:space="0" w:color="auto"/>
              <w:bottom w:val="single" w:sz="4" w:space="0" w:color="auto"/>
              <w:right w:val="single" w:sz="4" w:space="0" w:color="auto"/>
            </w:tcBorders>
            <w:shd w:val="clear" w:color="auto" w:fill="auto"/>
            <w:vAlign w:val="center"/>
          </w:tcPr>
          <w:p w14:paraId="583377C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正向</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6456E961">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大于等于</w:t>
            </w:r>
          </w:p>
        </w:tc>
        <w:tc>
          <w:tcPr>
            <w:tcW w:w="2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72C6E1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90</w:t>
            </w:r>
          </w:p>
        </w:tc>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FBC0D4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90</w:t>
            </w:r>
          </w:p>
        </w:tc>
        <w:tc>
          <w:tcPr>
            <w:tcW w:w="6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4907F4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AA67D3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41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321DDE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42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994C824">
            <w:pPr>
              <w:pStyle w:val="style0"/>
              <w:jc w:val="center"/>
              <w:rPr>
                <w:rFonts w:ascii="Times New Roman" w:cs="Times New Roman" w:eastAsia="宋体" w:hAnsi="Times New Roman" w:hint="default"/>
                <w:i w:val="false"/>
                <w:iCs w:val="false"/>
                <w:color w:val="000000"/>
                <w:sz w:val="18"/>
                <w:szCs w:val="18"/>
                <w:u w:val="none"/>
              </w:rPr>
            </w:pPr>
          </w:p>
        </w:tc>
      </w:tr>
      <w:tr w14:paraId="67B17765">
        <w:tblPrEx/>
        <w:trPr>
          <w:trHeight w:val="840" w:hRule="atLeast"/>
        </w:trPr>
        <w:tc>
          <w:tcPr>
            <w:tcW w:w="431" w:type="pct"/>
            <w:vMerge w:val="continue"/>
            <w:tcBorders>
              <w:top w:val="single" w:sz="4" w:space="0" w:color="auto"/>
              <w:left w:val="single" w:sz="4" w:space="0" w:color="auto"/>
              <w:bottom w:val="single" w:sz="4" w:space="0" w:color="auto"/>
              <w:right w:val="single" w:sz="4" w:space="0" w:color="auto"/>
            </w:tcBorders>
            <w:shd w:val="clear" w:color="auto" w:fill="auto"/>
            <w:vAlign w:val="center"/>
          </w:tcPr>
          <w:p w14:paraId="0BEC3B9B">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auto"/>
              <w:left w:val="single" w:sz="4" w:space="0" w:color="auto"/>
              <w:bottom w:val="single" w:sz="4" w:space="0" w:color="auto"/>
              <w:right w:val="single" w:sz="4" w:space="0" w:color="auto"/>
            </w:tcBorders>
            <w:shd w:val="clear" w:color="auto" w:fill="auto"/>
            <w:vAlign w:val="center"/>
          </w:tcPr>
          <w:p w14:paraId="14B7E1FD">
            <w:pPr>
              <w:pStyle w:val="style0"/>
              <w:jc w:val="center"/>
              <w:rPr>
                <w:rFonts w:ascii="Times New Roman" w:cs="Times New Roman" w:eastAsia="宋体" w:hAnsi="Times New Roman" w:hint="default"/>
                <w:i w:val="false"/>
                <w:iCs w:val="false"/>
                <w:color w:val="000000"/>
                <w:sz w:val="18"/>
                <w:szCs w:val="18"/>
                <w:u w:val="none"/>
              </w:rPr>
            </w:pPr>
          </w:p>
        </w:tc>
        <w:tc>
          <w:tcPr>
            <w:tcW w:w="529" w:type="pct"/>
            <w:vMerge w:val="continue"/>
            <w:tcBorders>
              <w:top w:val="single" w:sz="4" w:space="0" w:color="auto"/>
              <w:left w:val="single" w:sz="4" w:space="0" w:color="auto"/>
              <w:bottom w:val="single" w:sz="4" w:space="0" w:color="auto"/>
              <w:right w:val="single" w:sz="4" w:space="0" w:color="auto"/>
            </w:tcBorders>
            <w:shd w:val="clear" w:color="auto" w:fill="auto"/>
            <w:vAlign w:val="center"/>
          </w:tcPr>
          <w:p w14:paraId="3F62F7D0">
            <w:pPr>
              <w:pStyle w:val="style0"/>
              <w:jc w:val="center"/>
              <w:rPr>
                <w:rFonts w:ascii="Times New Roman" w:cs="Times New Roman" w:eastAsia="宋体" w:hAnsi="Times New Roman" w:hint="default"/>
                <w:i w:val="false"/>
                <w:iCs w:val="false"/>
                <w:color w:val="000000"/>
                <w:sz w:val="18"/>
                <w:szCs w:val="18"/>
                <w:u w:val="none"/>
              </w:rPr>
            </w:pPr>
          </w:p>
        </w:tc>
        <w:tc>
          <w:tcPr>
            <w:tcW w:w="469" w:type="pct"/>
            <w:tcBorders>
              <w:top w:val="single" w:sz="4" w:space="0" w:color="auto"/>
              <w:left w:val="single" w:sz="4" w:space="0" w:color="auto"/>
              <w:bottom w:val="single" w:sz="4" w:space="0" w:color="auto"/>
              <w:right w:val="single" w:sz="4" w:space="0" w:color="auto"/>
            </w:tcBorders>
            <w:shd w:val="clear" w:color="auto" w:fill="auto"/>
            <w:vAlign w:val="center"/>
          </w:tcPr>
          <w:p w14:paraId="22D3AF21">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培训合格率</w:t>
            </w:r>
          </w:p>
        </w:tc>
        <w:tc>
          <w:tcPr>
            <w:tcW w:w="227" w:type="pct"/>
            <w:tcBorders>
              <w:top w:val="single" w:sz="4" w:space="0" w:color="auto"/>
              <w:left w:val="single" w:sz="4" w:space="0" w:color="auto"/>
              <w:bottom w:val="single" w:sz="4" w:space="0" w:color="auto"/>
              <w:right w:val="single" w:sz="4" w:space="0" w:color="auto"/>
            </w:tcBorders>
            <w:shd w:val="clear" w:color="auto" w:fill="auto"/>
            <w:vAlign w:val="center"/>
          </w:tcPr>
          <w:p w14:paraId="4444D9D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正向</w:t>
            </w:r>
          </w:p>
        </w:tc>
        <w:tc>
          <w:tcPr>
            <w:tcW w:w="425" w:type="pct"/>
            <w:tcBorders>
              <w:top w:val="single" w:sz="4" w:space="0" w:color="auto"/>
              <w:left w:val="single" w:sz="4" w:space="0" w:color="auto"/>
              <w:bottom w:val="single" w:sz="4" w:space="0" w:color="auto"/>
              <w:right w:val="single" w:sz="4" w:space="0" w:color="auto"/>
            </w:tcBorders>
            <w:shd w:val="clear" w:color="auto" w:fill="auto"/>
            <w:vAlign w:val="center"/>
          </w:tcPr>
          <w:p w14:paraId="4A7BF28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大于等于</w:t>
            </w:r>
          </w:p>
        </w:tc>
        <w:tc>
          <w:tcPr>
            <w:tcW w:w="278"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3489F8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90</w:t>
            </w:r>
          </w:p>
        </w:tc>
        <w:tc>
          <w:tcPr>
            <w:tcW w:w="302"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E0C348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90</w:t>
            </w:r>
          </w:p>
        </w:tc>
        <w:tc>
          <w:tcPr>
            <w:tcW w:w="66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56B91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w:t>
            </w:r>
          </w:p>
        </w:tc>
        <w:tc>
          <w:tcPr>
            <w:tcW w:w="39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1295C4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14"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8D8441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27"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65C8046">
            <w:pPr>
              <w:pStyle w:val="style0"/>
              <w:jc w:val="center"/>
              <w:rPr>
                <w:rFonts w:ascii="Times New Roman" w:cs="Times New Roman" w:eastAsia="宋体" w:hAnsi="Times New Roman" w:hint="default"/>
                <w:i w:val="false"/>
                <w:iCs w:val="false"/>
                <w:color w:val="000000"/>
                <w:sz w:val="18"/>
                <w:szCs w:val="18"/>
                <w:u w:val="none"/>
              </w:rPr>
            </w:pPr>
          </w:p>
        </w:tc>
      </w:tr>
      <w:tr w14:paraId="7A00593B">
        <w:tblPrEx/>
        <w:trPr>
          <w:trHeight w:val="840" w:hRule="atLeast"/>
        </w:trPr>
        <w:tc>
          <w:tcPr>
            <w:tcW w:w="431" w:type="pct"/>
            <w:vMerge w:val="continue"/>
            <w:tcBorders>
              <w:top w:val="single" w:sz="4" w:space="0" w:color="auto"/>
              <w:left w:val="single" w:sz="4" w:space="0" w:color="auto"/>
              <w:bottom w:val="nil"/>
              <w:right w:val="single" w:sz="4" w:space="0" w:color="000000"/>
            </w:tcBorders>
            <w:shd w:val="clear" w:color="auto" w:fill="auto"/>
            <w:vAlign w:val="center"/>
          </w:tcPr>
          <w:p w14:paraId="19BE577B">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auto"/>
              <w:left w:val="single" w:sz="4" w:space="0" w:color="000000"/>
              <w:bottom w:val="nil"/>
              <w:right w:val="single" w:sz="4" w:space="0" w:color="000000"/>
            </w:tcBorders>
            <w:shd w:val="clear" w:color="auto" w:fill="auto"/>
            <w:vAlign w:val="center"/>
          </w:tcPr>
          <w:p w14:paraId="3CB10E82">
            <w:pPr>
              <w:pStyle w:val="style0"/>
              <w:jc w:val="center"/>
              <w:rPr>
                <w:rFonts w:ascii="Times New Roman" w:cs="Times New Roman" w:eastAsia="宋体" w:hAnsi="Times New Roman" w:hint="default"/>
                <w:i w:val="false"/>
                <w:iCs w:val="false"/>
                <w:color w:val="000000"/>
                <w:sz w:val="18"/>
                <w:szCs w:val="18"/>
                <w:u w:val="none"/>
              </w:rPr>
            </w:pPr>
          </w:p>
        </w:tc>
        <w:tc>
          <w:tcPr>
            <w:tcW w:w="529" w:type="pct"/>
            <w:vMerge w:val="restart"/>
            <w:tcBorders>
              <w:top w:val="single" w:sz="4" w:space="0" w:color="auto"/>
              <w:left w:val="single" w:sz="4" w:space="0" w:color="000000"/>
              <w:bottom w:val="nil"/>
              <w:right w:val="single" w:sz="4" w:space="0" w:color="000000"/>
            </w:tcBorders>
            <w:shd w:val="clear" w:color="auto" w:fill="auto"/>
            <w:vAlign w:val="center"/>
          </w:tcPr>
          <w:p w14:paraId="08BFDBD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时效指标</w:t>
            </w:r>
          </w:p>
        </w:tc>
        <w:tc>
          <w:tcPr>
            <w:tcW w:w="469" w:type="pct"/>
            <w:tcBorders>
              <w:top w:val="single" w:sz="4" w:space="0" w:color="auto"/>
              <w:left w:val="single" w:sz="4" w:space="0" w:color="000000"/>
              <w:bottom w:val="nil"/>
              <w:right w:val="single" w:sz="4" w:space="0" w:color="000000"/>
            </w:tcBorders>
            <w:shd w:val="clear" w:color="auto" w:fill="auto"/>
            <w:vAlign w:val="center"/>
          </w:tcPr>
          <w:p w14:paraId="44D3728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工作完成时间</w:t>
            </w:r>
          </w:p>
        </w:tc>
        <w:tc>
          <w:tcPr>
            <w:tcW w:w="227" w:type="pct"/>
            <w:tcBorders>
              <w:top w:val="single" w:sz="4" w:space="0" w:color="auto"/>
              <w:left w:val="single" w:sz="4" w:space="0" w:color="000000"/>
              <w:bottom w:val="nil"/>
              <w:right w:val="single" w:sz="4" w:space="0" w:color="000000"/>
            </w:tcBorders>
            <w:shd w:val="clear" w:color="auto" w:fill="auto"/>
            <w:vAlign w:val="center"/>
          </w:tcPr>
          <w:p w14:paraId="6A40011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定性</w:t>
            </w:r>
          </w:p>
        </w:tc>
        <w:tc>
          <w:tcPr>
            <w:tcW w:w="425" w:type="pct"/>
            <w:tcBorders>
              <w:top w:val="single" w:sz="4" w:space="0" w:color="auto"/>
              <w:left w:val="single" w:sz="4" w:space="0" w:color="000000"/>
              <w:bottom w:val="nil"/>
              <w:right w:val="single" w:sz="4" w:space="0" w:color="000000"/>
            </w:tcBorders>
            <w:shd w:val="clear" w:color="auto" w:fill="auto"/>
            <w:vAlign w:val="center"/>
          </w:tcPr>
          <w:p w14:paraId="0CBDC3A8">
            <w:pPr>
              <w:pStyle w:val="style0"/>
              <w:jc w:val="center"/>
              <w:rPr>
                <w:rFonts w:ascii="Times New Roman" w:cs="Times New Roman" w:eastAsia="宋体" w:hAnsi="Times New Roman" w:hint="default"/>
                <w:i w:val="false"/>
                <w:iCs w:val="false"/>
                <w:color w:val="000000"/>
                <w:sz w:val="18"/>
                <w:szCs w:val="18"/>
                <w:u w:val="none"/>
              </w:rPr>
            </w:pPr>
          </w:p>
        </w:tc>
        <w:tc>
          <w:tcPr>
            <w:tcW w:w="278" w:type="pct"/>
            <w:gridSpan w:val="2"/>
            <w:tcBorders>
              <w:top w:val="single" w:sz="4" w:space="0" w:color="auto"/>
              <w:left w:val="single" w:sz="4" w:space="0" w:color="000000"/>
              <w:bottom w:val="nil"/>
              <w:right w:val="single" w:sz="4" w:space="0" w:color="000000"/>
            </w:tcBorders>
            <w:shd w:val="clear" w:color="auto" w:fill="auto"/>
            <w:vAlign w:val="center"/>
          </w:tcPr>
          <w:p w14:paraId="1DCD2F7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年底之前</w:t>
            </w:r>
          </w:p>
        </w:tc>
        <w:tc>
          <w:tcPr>
            <w:tcW w:w="302" w:type="pct"/>
            <w:gridSpan w:val="2"/>
            <w:tcBorders>
              <w:top w:val="single" w:sz="4" w:space="0" w:color="auto"/>
              <w:left w:val="single" w:sz="4" w:space="0" w:color="000000"/>
              <w:bottom w:val="nil"/>
              <w:right w:val="single" w:sz="4" w:space="0" w:color="000000"/>
            </w:tcBorders>
            <w:shd w:val="clear" w:color="auto" w:fill="auto"/>
            <w:vAlign w:val="center"/>
          </w:tcPr>
          <w:p w14:paraId="63DC69F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12</w:t>
            </w:r>
          </w:p>
        </w:tc>
        <w:tc>
          <w:tcPr>
            <w:tcW w:w="664" w:type="pct"/>
            <w:gridSpan w:val="2"/>
            <w:tcBorders>
              <w:top w:val="single" w:sz="4" w:space="0" w:color="auto"/>
              <w:left w:val="single" w:sz="4" w:space="0" w:color="000000"/>
              <w:bottom w:val="nil"/>
              <w:right w:val="single" w:sz="4" w:space="0" w:color="000000"/>
            </w:tcBorders>
            <w:shd w:val="clear" w:color="auto" w:fill="auto"/>
            <w:vAlign w:val="center"/>
          </w:tcPr>
          <w:p w14:paraId="28C5489A">
            <w:pPr>
              <w:pStyle w:val="style0"/>
              <w:jc w:val="center"/>
              <w:rPr>
                <w:rFonts w:ascii="Times New Roman" w:cs="Times New Roman" w:eastAsia="宋体" w:hAnsi="Times New Roman" w:hint="default"/>
                <w:i w:val="false"/>
                <w:iCs w:val="false"/>
                <w:color w:val="000000"/>
                <w:sz w:val="18"/>
                <w:szCs w:val="18"/>
                <w:u w:val="none"/>
              </w:rPr>
            </w:pPr>
          </w:p>
        </w:tc>
        <w:tc>
          <w:tcPr>
            <w:tcW w:w="397" w:type="pct"/>
            <w:gridSpan w:val="2"/>
            <w:tcBorders>
              <w:top w:val="single" w:sz="4" w:space="0" w:color="auto"/>
              <w:left w:val="single" w:sz="4" w:space="0" w:color="000000"/>
              <w:bottom w:val="nil"/>
              <w:right w:val="single" w:sz="4" w:space="0" w:color="000000"/>
            </w:tcBorders>
            <w:shd w:val="clear" w:color="auto" w:fill="auto"/>
            <w:vAlign w:val="center"/>
          </w:tcPr>
          <w:p w14:paraId="6DC6DBA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14" w:type="pct"/>
            <w:gridSpan w:val="2"/>
            <w:tcBorders>
              <w:top w:val="single" w:sz="4" w:space="0" w:color="auto"/>
              <w:left w:val="single" w:sz="4" w:space="0" w:color="000000"/>
              <w:bottom w:val="nil"/>
              <w:right w:val="single" w:sz="4" w:space="0" w:color="000000"/>
            </w:tcBorders>
            <w:shd w:val="clear" w:color="auto" w:fill="auto"/>
            <w:vAlign w:val="center"/>
          </w:tcPr>
          <w:p w14:paraId="40F19DF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27" w:type="pct"/>
            <w:gridSpan w:val="2"/>
            <w:tcBorders>
              <w:top w:val="single" w:sz="4" w:space="0" w:color="auto"/>
              <w:left w:val="single" w:sz="4" w:space="0" w:color="000000"/>
              <w:bottom w:val="nil"/>
              <w:right w:val="single" w:sz="4" w:space="0" w:color="000000"/>
            </w:tcBorders>
            <w:shd w:val="clear" w:color="auto" w:fill="auto"/>
            <w:vAlign w:val="center"/>
          </w:tcPr>
          <w:p w14:paraId="57C666AA">
            <w:pPr>
              <w:pStyle w:val="style0"/>
              <w:jc w:val="center"/>
              <w:rPr>
                <w:rFonts w:ascii="Times New Roman" w:cs="Times New Roman" w:eastAsia="宋体" w:hAnsi="Times New Roman" w:hint="default"/>
                <w:i w:val="false"/>
                <w:iCs w:val="false"/>
                <w:color w:val="000000"/>
                <w:sz w:val="18"/>
                <w:szCs w:val="18"/>
                <w:u w:val="none"/>
              </w:rPr>
            </w:pPr>
          </w:p>
        </w:tc>
      </w:tr>
      <w:tr w14:paraId="644B7F88">
        <w:tblPrEx/>
        <w:trPr>
          <w:trHeight w:val="840" w:hRule="atLeast"/>
        </w:trPr>
        <w:tc>
          <w:tcPr>
            <w:tcW w:w="431" w:type="pct"/>
            <w:vMerge w:val="continue"/>
            <w:tcBorders>
              <w:top w:val="single" w:sz="4" w:space="0" w:color="000000"/>
              <w:left w:val="single" w:sz="4" w:space="0" w:color="auto"/>
              <w:bottom w:val="nil"/>
              <w:right w:val="single" w:sz="4" w:space="0" w:color="000000"/>
            </w:tcBorders>
            <w:shd w:val="clear" w:color="auto" w:fill="auto"/>
            <w:vAlign w:val="center"/>
          </w:tcPr>
          <w:p w14:paraId="5B6719EF">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000000"/>
              <w:left w:val="single" w:sz="4" w:space="0" w:color="000000"/>
              <w:bottom w:val="nil"/>
              <w:right w:val="single" w:sz="4" w:space="0" w:color="000000"/>
            </w:tcBorders>
            <w:shd w:val="clear" w:color="auto" w:fill="auto"/>
            <w:vAlign w:val="center"/>
          </w:tcPr>
          <w:p w14:paraId="0609762A">
            <w:pPr>
              <w:pStyle w:val="style0"/>
              <w:jc w:val="center"/>
              <w:rPr>
                <w:rFonts w:ascii="Times New Roman" w:cs="Times New Roman" w:eastAsia="宋体" w:hAnsi="Times New Roman" w:hint="default"/>
                <w:i w:val="false"/>
                <w:iCs w:val="false"/>
                <w:color w:val="000000"/>
                <w:sz w:val="18"/>
                <w:szCs w:val="18"/>
                <w:u w:val="none"/>
              </w:rPr>
            </w:pPr>
          </w:p>
        </w:tc>
        <w:tc>
          <w:tcPr>
            <w:tcW w:w="529" w:type="pct"/>
            <w:vMerge w:val="continue"/>
            <w:tcBorders>
              <w:top w:val="single" w:sz="4" w:space="0" w:color="000000"/>
              <w:left w:val="single" w:sz="4" w:space="0" w:color="000000"/>
              <w:bottom w:val="nil"/>
              <w:right w:val="single" w:sz="4" w:space="0" w:color="000000"/>
            </w:tcBorders>
            <w:shd w:val="clear" w:color="auto" w:fill="auto"/>
            <w:vAlign w:val="center"/>
          </w:tcPr>
          <w:p w14:paraId="157678F2">
            <w:pPr>
              <w:pStyle w:val="style0"/>
              <w:jc w:val="center"/>
              <w:rPr>
                <w:rFonts w:ascii="Times New Roman" w:cs="Times New Roman" w:eastAsia="宋体" w:hAnsi="Times New Roman" w:hint="default"/>
                <w:i w:val="false"/>
                <w:iCs w:val="false"/>
                <w:color w:val="000000"/>
                <w:sz w:val="18"/>
                <w:szCs w:val="18"/>
                <w:u w:val="none"/>
              </w:rPr>
            </w:pPr>
          </w:p>
        </w:tc>
        <w:tc>
          <w:tcPr>
            <w:tcW w:w="469" w:type="pct"/>
            <w:tcBorders>
              <w:top w:val="single" w:sz="4" w:space="0" w:color="000000"/>
              <w:left w:val="single" w:sz="4" w:space="0" w:color="000000"/>
              <w:bottom w:val="nil"/>
              <w:right w:val="single" w:sz="4" w:space="0" w:color="000000"/>
            </w:tcBorders>
            <w:shd w:val="clear" w:color="auto" w:fill="auto"/>
            <w:vAlign w:val="center"/>
          </w:tcPr>
          <w:p w14:paraId="0349FEF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案件办结完成时间</w:t>
            </w:r>
          </w:p>
        </w:tc>
        <w:tc>
          <w:tcPr>
            <w:tcW w:w="227" w:type="pct"/>
            <w:tcBorders>
              <w:top w:val="single" w:sz="4" w:space="0" w:color="000000"/>
              <w:left w:val="single" w:sz="4" w:space="0" w:color="000000"/>
              <w:bottom w:val="nil"/>
              <w:right w:val="single" w:sz="4" w:space="0" w:color="000000"/>
            </w:tcBorders>
            <w:shd w:val="clear" w:color="auto" w:fill="auto"/>
            <w:vAlign w:val="center"/>
          </w:tcPr>
          <w:p w14:paraId="6169261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定性</w:t>
            </w:r>
          </w:p>
        </w:tc>
        <w:tc>
          <w:tcPr>
            <w:tcW w:w="425" w:type="pct"/>
            <w:tcBorders>
              <w:top w:val="single" w:sz="4" w:space="0" w:color="000000"/>
              <w:left w:val="single" w:sz="4" w:space="0" w:color="000000"/>
              <w:bottom w:val="nil"/>
              <w:right w:val="single" w:sz="4" w:space="0" w:color="000000"/>
            </w:tcBorders>
            <w:shd w:val="clear" w:color="auto" w:fill="auto"/>
            <w:vAlign w:val="center"/>
          </w:tcPr>
          <w:p w14:paraId="407CDF4C">
            <w:pPr>
              <w:pStyle w:val="style0"/>
              <w:jc w:val="center"/>
              <w:rPr>
                <w:rFonts w:ascii="Times New Roman" w:cs="Times New Roman" w:eastAsia="宋体" w:hAnsi="Times New Roman" w:hint="default"/>
                <w:i w:val="false"/>
                <w:iCs w:val="false"/>
                <w:color w:val="000000"/>
                <w:sz w:val="18"/>
                <w:szCs w:val="18"/>
                <w:u w:val="none"/>
              </w:rPr>
            </w:pPr>
          </w:p>
        </w:tc>
        <w:tc>
          <w:tcPr>
            <w:tcW w:w="278" w:type="pct"/>
            <w:gridSpan w:val="2"/>
            <w:tcBorders>
              <w:top w:val="single" w:sz="4" w:space="0" w:color="000000"/>
              <w:left w:val="single" w:sz="4" w:space="0" w:color="000000"/>
              <w:bottom w:val="nil"/>
              <w:right w:val="single" w:sz="4" w:space="0" w:color="000000"/>
            </w:tcBorders>
            <w:shd w:val="clear" w:color="auto" w:fill="auto"/>
            <w:vAlign w:val="center"/>
          </w:tcPr>
          <w:p w14:paraId="20E3CB4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年底之前</w:t>
            </w:r>
          </w:p>
        </w:tc>
        <w:tc>
          <w:tcPr>
            <w:tcW w:w="302" w:type="pct"/>
            <w:gridSpan w:val="2"/>
            <w:tcBorders>
              <w:top w:val="single" w:sz="4" w:space="0" w:color="000000"/>
              <w:left w:val="single" w:sz="4" w:space="0" w:color="000000"/>
              <w:bottom w:val="nil"/>
              <w:right w:val="single" w:sz="4" w:space="0" w:color="000000"/>
            </w:tcBorders>
            <w:shd w:val="clear" w:color="auto" w:fill="auto"/>
            <w:vAlign w:val="center"/>
          </w:tcPr>
          <w:p w14:paraId="532ABB3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12</w:t>
            </w:r>
          </w:p>
        </w:tc>
        <w:tc>
          <w:tcPr>
            <w:tcW w:w="664" w:type="pct"/>
            <w:gridSpan w:val="2"/>
            <w:tcBorders>
              <w:top w:val="single" w:sz="4" w:space="0" w:color="000000"/>
              <w:left w:val="single" w:sz="4" w:space="0" w:color="000000"/>
              <w:bottom w:val="nil"/>
              <w:right w:val="single" w:sz="4" w:space="0" w:color="000000"/>
            </w:tcBorders>
            <w:shd w:val="clear" w:color="auto" w:fill="auto"/>
            <w:vAlign w:val="center"/>
          </w:tcPr>
          <w:p w14:paraId="5D34DD89">
            <w:pPr>
              <w:pStyle w:val="style0"/>
              <w:jc w:val="center"/>
              <w:rPr>
                <w:rFonts w:ascii="Times New Roman" w:cs="Times New Roman" w:eastAsia="宋体" w:hAnsi="Times New Roman" w:hint="default"/>
                <w:i w:val="false"/>
                <w:iCs w:val="false"/>
                <w:color w:val="000000"/>
                <w:sz w:val="18"/>
                <w:szCs w:val="18"/>
                <w:u w:val="none"/>
              </w:rPr>
            </w:pPr>
          </w:p>
        </w:tc>
        <w:tc>
          <w:tcPr>
            <w:tcW w:w="397" w:type="pct"/>
            <w:gridSpan w:val="2"/>
            <w:tcBorders>
              <w:top w:val="single" w:sz="4" w:space="0" w:color="000000"/>
              <w:left w:val="single" w:sz="4" w:space="0" w:color="000000"/>
              <w:bottom w:val="nil"/>
              <w:right w:val="single" w:sz="4" w:space="0" w:color="000000"/>
            </w:tcBorders>
            <w:shd w:val="clear" w:color="auto" w:fill="auto"/>
            <w:vAlign w:val="center"/>
          </w:tcPr>
          <w:p w14:paraId="27C7DBA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14" w:type="pct"/>
            <w:gridSpan w:val="2"/>
            <w:tcBorders>
              <w:top w:val="single" w:sz="4" w:space="0" w:color="000000"/>
              <w:left w:val="single" w:sz="4" w:space="0" w:color="000000"/>
              <w:bottom w:val="nil"/>
              <w:right w:val="single" w:sz="4" w:space="0" w:color="000000"/>
            </w:tcBorders>
            <w:shd w:val="clear" w:color="auto" w:fill="auto"/>
            <w:vAlign w:val="center"/>
          </w:tcPr>
          <w:p w14:paraId="4E58108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27" w:type="pct"/>
            <w:gridSpan w:val="2"/>
            <w:tcBorders>
              <w:top w:val="single" w:sz="4" w:space="0" w:color="000000"/>
              <w:left w:val="single" w:sz="4" w:space="0" w:color="000000"/>
              <w:bottom w:val="nil"/>
              <w:right w:val="single" w:sz="4" w:space="0" w:color="000000"/>
            </w:tcBorders>
            <w:shd w:val="clear" w:color="auto" w:fill="auto"/>
            <w:vAlign w:val="center"/>
          </w:tcPr>
          <w:p w14:paraId="2C581DE0">
            <w:pPr>
              <w:pStyle w:val="style0"/>
              <w:jc w:val="center"/>
              <w:rPr>
                <w:rFonts w:ascii="Times New Roman" w:cs="Times New Roman" w:eastAsia="宋体" w:hAnsi="Times New Roman" w:hint="default"/>
                <w:i w:val="false"/>
                <w:iCs w:val="false"/>
                <w:color w:val="000000"/>
                <w:sz w:val="18"/>
                <w:szCs w:val="18"/>
                <w:u w:val="none"/>
              </w:rPr>
            </w:pPr>
          </w:p>
        </w:tc>
      </w:tr>
      <w:tr w14:paraId="2CB9AD62">
        <w:tblPrEx/>
        <w:trPr>
          <w:trHeight w:val="840" w:hRule="atLeast"/>
        </w:trPr>
        <w:tc>
          <w:tcPr>
            <w:tcW w:w="431" w:type="pct"/>
            <w:vMerge w:val="continue"/>
            <w:tcBorders>
              <w:top w:val="single" w:sz="4" w:space="0" w:color="000000"/>
              <w:left w:val="single" w:sz="4" w:space="0" w:color="auto"/>
              <w:bottom w:val="nil"/>
              <w:right w:val="single" w:sz="4" w:space="0" w:color="000000"/>
            </w:tcBorders>
            <w:shd w:val="clear" w:color="auto" w:fill="auto"/>
            <w:vAlign w:val="center"/>
          </w:tcPr>
          <w:p w14:paraId="0041A535">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000000"/>
              <w:left w:val="single" w:sz="4" w:space="0" w:color="000000"/>
              <w:bottom w:val="nil"/>
              <w:right w:val="single" w:sz="4" w:space="0" w:color="000000"/>
            </w:tcBorders>
            <w:shd w:val="clear" w:color="auto" w:fill="auto"/>
            <w:vAlign w:val="center"/>
          </w:tcPr>
          <w:p w14:paraId="37FE3DE2">
            <w:pPr>
              <w:pStyle w:val="style0"/>
              <w:jc w:val="center"/>
              <w:rPr>
                <w:rFonts w:ascii="Times New Roman" w:cs="Times New Roman" w:eastAsia="宋体" w:hAnsi="Times New Roman" w:hint="default"/>
                <w:i w:val="false"/>
                <w:iCs w:val="false"/>
                <w:color w:val="000000"/>
                <w:sz w:val="18"/>
                <w:szCs w:val="18"/>
                <w:u w:val="none"/>
              </w:rPr>
            </w:pPr>
          </w:p>
        </w:tc>
        <w:tc>
          <w:tcPr>
            <w:tcW w:w="529" w:type="pct"/>
            <w:vMerge w:val="restart"/>
            <w:tcBorders>
              <w:top w:val="single" w:sz="4" w:space="0" w:color="000000"/>
              <w:left w:val="single" w:sz="4" w:space="0" w:color="000000"/>
              <w:bottom w:val="nil"/>
              <w:right w:val="single" w:sz="4" w:space="0" w:color="000000"/>
            </w:tcBorders>
            <w:shd w:val="clear" w:color="auto" w:fill="auto"/>
            <w:vAlign w:val="center"/>
          </w:tcPr>
          <w:p w14:paraId="09C1EEC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成本指标</w:t>
            </w:r>
          </w:p>
        </w:tc>
        <w:tc>
          <w:tcPr>
            <w:tcW w:w="469" w:type="pct"/>
            <w:tcBorders>
              <w:top w:val="single" w:sz="4" w:space="0" w:color="000000"/>
              <w:left w:val="single" w:sz="4" w:space="0" w:color="000000"/>
              <w:bottom w:val="nil"/>
              <w:right w:val="single" w:sz="4" w:space="0" w:color="000000"/>
            </w:tcBorders>
            <w:shd w:val="clear" w:color="auto" w:fill="auto"/>
            <w:vAlign w:val="center"/>
          </w:tcPr>
          <w:p w14:paraId="270771A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业主培训成本</w:t>
            </w:r>
          </w:p>
        </w:tc>
        <w:tc>
          <w:tcPr>
            <w:tcW w:w="227" w:type="pct"/>
            <w:tcBorders>
              <w:top w:val="single" w:sz="4" w:space="0" w:color="000000"/>
              <w:left w:val="single" w:sz="4" w:space="0" w:color="000000"/>
              <w:bottom w:val="nil"/>
              <w:right w:val="single" w:sz="4" w:space="0" w:color="000000"/>
            </w:tcBorders>
            <w:shd w:val="clear" w:color="auto" w:fill="auto"/>
            <w:vAlign w:val="center"/>
          </w:tcPr>
          <w:p w14:paraId="1FADA5F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反向</w:t>
            </w:r>
          </w:p>
        </w:tc>
        <w:tc>
          <w:tcPr>
            <w:tcW w:w="425" w:type="pct"/>
            <w:tcBorders>
              <w:top w:val="single" w:sz="4" w:space="0" w:color="000000"/>
              <w:left w:val="single" w:sz="4" w:space="0" w:color="000000"/>
              <w:bottom w:val="nil"/>
              <w:right w:val="single" w:sz="4" w:space="0" w:color="000000"/>
            </w:tcBorders>
            <w:shd w:val="clear" w:color="auto" w:fill="auto"/>
            <w:vAlign w:val="center"/>
          </w:tcPr>
          <w:p w14:paraId="66AC7AF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小于等于</w:t>
            </w:r>
          </w:p>
        </w:tc>
        <w:tc>
          <w:tcPr>
            <w:tcW w:w="278" w:type="pct"/>
            <w:gridSpan w:val="2"/>
            <w:tcBorders>
              <w:top w:val="single" w:sz="4" w:space="0" w:color="000000"/>
              <w:left w:val="single" w:sz="4" w:space="0" w:color="000000"/>
              <w:bottom w:val="nil"/>
              <w:right w:val="single" w:sz="4" w:space="0" w:color="000000"/>
            </w:tcBorders>
            <w:shd w:val="clear" w:color="auto" w:fill="auto"/>
            <w:vAlign w:val="center"/>
          </w:tcPr>
          <w:p w14:paraId="40F18AA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w:t>
            </w:r>
          </w:p>
        </w:tc>
        <w:tc>
          <w:tcPr>
            <w:tcW w:w="302" w:type="pct"/>
            <w:gridSpan w:val="2"/>
            <w:tcBorders>
              <w:top w:val="single" w:sz="4" w:space="0" w:color="000000"/>
              <w:left w:val="single" w:sz="4" w:space="0" w:color="000000"/>
              <w:bottom w:val="nil"/>
              <w:right w:val="single" w:sz="4" w:space="0" w:color="000000"/>
            </w:tcBorders>
            <w:shd w:val="clear" w:color="auto" w:fill="auto"/>
            <w:vAlign w:val="center"/>
          </w:tcPr>
          <w:p w14:paraId="382BB1C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1000</w:t>
            </w:r>
          </w:p>
        </w:tc>
        <w:tc>
          <w:tcPr>
            <w:tcW w:w="664" w:type="pct"/>
            <w:gridSpan w:val="2"/>
            <w:tcBorders>
              <w:top w:val="single" w:sz="4" w:space="0" w:color="000000"/>
              <w:left w:val="single" w:sz="4" w:space="0" w:color="000000"/>
              <w:bottom w:val="nil"/>
              <w:right w:val="single" w:sz="4" w:space="0" w:color="000000"/>
            </w:tcBorders>
            <w:shd w:val="clear" w:color="auto" w:fill="auto"/>
            <w:vAlign w:val="center"/>
          </w:tcPr>
          <w:p w14:paraId="0BA3058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元/次</w:t>
            </w:r>
          </w:p>
        </w:tc>
        <w:tc>
          <w:tcPr>
            <w:tcW w:w="397" w:type="pct"/>
            <w:gridSpan w:val="2"/>
            <w:tcBorders>
              <w:top w:val="single" w:sz="4" w:space="0" w:color="000000"/>
              <w:left w:val="single" w:sz="4" w:space="0" w:color="000000"/>
              <w:bottom w:val="nil"/>
              <w:right w:val="single" w:sz="4" w:space="0" w:color="000000"/>
            </w:tcBorders>
            <w:shd w:val="clear" w:color="auto" w:fill="auto"/>
            <w:vAlign w:val="center"/>
          </w:tcPr>
          <w:p w14:paraId="33A57D9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14" w:type="pct"/>
            <w:gridSpan w:val="2"/>
            <w:tcBorders>
              <w:top w:val="single" w:sz="4" w:space="0" w:color="000000"/>
              <w:left w:val="single" w:sz="4" w:space="0" w:color="000000"/>
              <w:bottom w:val="nil"/>
              <w:right w:val="single" w:sz="4" w:space="0" w:color="000000"/>
            </w:tcBorders>
            <w:shd w:val="clear" w:color="auto" w:fill="auto"/>
            <w:vAlign w:val="center"/>
          </w:tcPr>
          <w:p w14:paraId="593DA3B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27" w:type="pct"/>
            <w:gridSpan w:val="2"/>
            <w:tcBorders>
              <w:top w:val="single" w:sz="4" w:space="0" w:color="000000"/>
              <w:left w:val="single" w:sz="4" w:space="0" w:color="000000"/>
              <w:bottom w:val="nil"/>
              <w:right w:val="single" w:sz="4" w:space="0" w:color="000000"/>
            </w:tcBorders>
            <w:shd w:val="clear" w:color="auto" w:fill="auto"/>
            <w:vAlign w:val="center"/>
          </w:tcPr>
          <w:p w14:paraId="27B3E280">
            <w:pPr>
              <w:pStyle w:val="style0"/>
              <w:jc w:val="center"/>
              <w:rPr>
                <w:rFonts w:ascii="Times New Roman" w:cs="Times New Roman" w:eastAsia="宋体" w:hAnsi="Times New Roman" w:hint="default"/>
                <w:i w:val="false"/>
                <w:iCs w:val="false"/>
                <w:color w:val="000000"/>
                <w:sz w:val="18"/>
                <w:szCs w:val="18"/>
                <w:u w:val="none"/>
              </w:rPr>
            </w:pPr>
          </w:p>
        </w:tc>
      </w:tr>
      <w:tr w14:paraId="35390D77">
        <w:tblPrEx/>
        <w:trPr>
          <w:trHeight w:val="840" w:hRule="atLeast"/>
        </w:trPr>
        <w:tc>
          <w:tcPr>
            <w:tcW w:w="431" w:type="pct"/>
            <w:vMerge w:val="continue"/>
            <w:tcBorders>
              <w:top w:val="single" w:sz="4" w:space="0" w:color="000000"/>
              <w:left w:val="single" w:sz="4" w:space="0" w:color="auto"/>
              <w:bottom w:val="nil"/>
              <w:right w:val="single" w:sz="4" w:space="0" w:color="000000"/>
            </w:tcBorders>
            <w:shd w:val="clear" w:color="auto" w:fill="auto"/>
            <w:vAlign w:val="center"/>
          </w:tcPr>
          <w:p w14:paraId="1B87A75F">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000000"/>
              <w:left w:val="single" w:sz="4" w:space="0" w:color="000000"/>
              <w:bottom w:val="nil"/>
              <w:right w:val="single" w:sz="4" w:space="0" w:color="000000"/>
            </w:tcBorders>
            <w:shd w:val="clear" w:color="auto" w:fill="auto"/>
            <w:vAlign w:val="center"/>
          </w:tcPr>
          <w:p w14:paraId="7584562A">
            <w:pPr>
              <w:pStyle w:val="style0"/>
              <w:jc w:val="center"/>
              <w:rPr>
                <w:rFonts w:ascii="Times New Roman" w:cs="Times New Roman" w:eastAsia="宋体" w:hAnsi="Times New Roman" w:hint="default"/>
                <w:i w:val="false"/>
                <w:iCs w:val="false"/>
                <w:color w:val="000000"/>
                <w:sz w:val="18"/>
                <w:szCs w:val="18"/>
                <w:u w:val="none"/>
              </w:rPr>
            </w:pPr>
          </w:p>
        </w:tc>
        <w:tc>
          <w:tcPr>
            <w:tcW w:w="529" w:type="pct"/>
            <w:vMerge w:val="continue"/>
            <w:tcBorders>
              <w:top w:val="single" w:sz="4" w:space="0" w:color="000000"/>
              <w:left w:val="single" w:sz="4" w:space="0" w:color="000000"/>
              <w:bottom w:val="nil"/>
              <w:right w:val="single" w:sz="4" w:space="0" w:color="000000"/>
            </w:tcBorders>
            <w:shd w:val="clear" w:color="auto" w:fill="auto"/>
            <w:vAlign w:val="center"/>
          </w:tcPr>
          <w:p w14:paraId="70011746">
            <w:pPr>
              <w:pStyle w:val="style0"/>
              <w:jc w:val="center"/>
              <w:rPr>
                <w:rFonts w:ascii="Times New Roman" w:cs="Times New Roman" w:eastAsia="宋体" w:hAnsi="Times New Roman" w:hint="default"/>
                <w:i w:val="false"/>
                <w:iCs w:val="false"/>
                <w:color w:val="000000"/>
                <w:sz w:val="18"/>
                <w:szCs w:val="18"/>
                <w:u w:val="none"/>
              </w:rPr>
            </w:pPr>
          </w:p>
        </w:tc>
        <w:tc>
          <w:tcPr>
            <w:tcW w:w="469" w:type="pct"/>
            <w:tcBorders>
              <w:top w:val="single" w:sz="4" w:space="0" w:color="000000"/>
              <w:left w:val="single" w:sz="4" w:space="0" w:color="000000"/>
              <w:bottom w:val="nil"/>
              <w:right w:val="single" w:sz="4" w:space="0" w:color="000000"/>
            </w:tcBorders>
            <w:shd w:val="clear" w:color="auto" w:fill="auto"/>
            <w:vAlign w:val="center"/>
          </w:tcPr>
          <w:p w14:paraId="6B41F046">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执法人员外出培训成本</w:t>
            </w:r>
          </w:p>
        </w:tc>
        <w:tc>
          <w:tcPr>
            <w:tcW w:w="227" w:type="pct"/>
            <w:tcBorders>
              <w:top w:val="single" w:sz="4" w:space="0" w:color="000000"/>
              <w:left w:val="single" w:sz="4" w:space="0" w:color="000000"/>
              <w:bottom w:val="nil"/>
              <w:right w:val="single" w:sz="4" w:space="0" w:color="000000"/>
            </w:tcBorders>
            <w:shd w:val="clear" w:color="auto" w:fill="auto"/>
            <w:vAlign w:val="center"/>
          </w:tcPr>
          <w:p w14:paraId="6C7B918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正向</w:t>
            </w:r>
          </w:p>
        </w:tc>
        <w:tc>
          <w:tcPr>
            <w:tcW w:w="425" w:type="pct"/>
            <w:tcBorders>
              <w:top w:val="single" w:sz="4" w:space="0" w:color="000000"/>
              <w:left w:val="single" w:sz="4" w:space="0" w:color="000000"/>
              <w:bottom w:val="nil"/>
              <w:right w:val="single" w:sz="4" w:space="0" w:color="000000"/>
            </w:tcBorders>
            <w:shd w:val="clear" w:color="auto" w:fill="auto"/>
            <w:vAlign w:val="center"/>
          </w:tcPr>
          <w:p w14:paraId="4B75D00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大于等于</w:t>
            </w:r>
          </w:p>
        </w:tc>
        <w:tc>
          <w:tcPr>
            <w:tcW w:w="278" w:type="pct"/>
            <w:gridSpan w:val="2"/>
            <w:tcBorders>
              <w:top w:val="single" w:sz="4" w:space="0" w:color="000000"/>
              <w:left w:val="single" w:sz="4" w:space="0" w:color="000000"/>
              <w:bottom w:val="nil"/>
              <w:right w:val="single" w:sz="4" w:space="0" w:color="000000"/>
            </w:tcBorders>
            <w:shd w:val="clear" w:color="auto" w:fill="auto"/>
            <w:vAlign w:val="center"/>
          </w:tcPr>
          <w:p w14:paraId="4B6B187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4000</w:t>
            </w:r>
          </w:p>
        </w:tc>
        <w:tc>
          <w:tcPr>
            <w:tcW w:w="302" w:type="pct"/>
            <w:gridSpan w:val="2"/>
            <w:tcBorders>
              <w:top w:val="single" w:sz="4" w:space="0" w:color="000000"/>
              <w:left w:val="single" w:sz="4" w:space="0" w:color="000000"/>
              <w:bottom w:val="nil"/>
              <w:right w:val="single" w:sz="4" w:space="0" w:color="000000"/>
            </w:tcBorders>
            <w:shd w:val="clear" w:color="auto" w:fill="auto"/>
            <w:vAlign w:val="center"/>
          </w:tcPr>
          <w:p w14:paraId="2E87E09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4000</w:t>
            </w:r>
          </w:p>
        </w:tc>
        <w:tc>
          <w:tcPr>
            <w:tcW w:w="664" w:type="pct"/>
            <w:gridSpan w:val="2"/>
            <w:tcBorders>
              <w:top w:val="single" w:sz="4" w:space="0" w:color="000000"/>
              <w:left w:val="single" w:sz="4" w:space="0" w:color="000000"/>
              <w:bottom w:val="nil"/>
              <w:right w:val="single" w:sz="4" w:space="0" w:color="000000"/>
            </w:tcBorders>
            <w:shd w:val="clear" w:color="auto" w:fill="auto"/>
            <w:vAlign w:val="center"/>
          </w:tcPr>
          <w:p w14:paraId="1221EA36">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人/次</w:t>
            </w:r>
          </w:p>
        </w:tc>
        <w:tc>
          <w:tcPr>
            <w:tcW w:w="397" w:type="pct"/>
            <w:gridSpan w:val="2"/>
            <w:tcBorders>
              <w:top w:val="single" w:sz="4" w:space="0" w:color="000000"/>
              <w:left w:val="single" w:sz="4" w:space="0" w:color="000000"/>
              <w:bottom w:val="nil"/>
              <w:right w:val="single" w:sz="4" w:space="0" w:color="000000"/>
            </w:tcBorders>
            <w:shd w:val="clear" w:color="auto" w:fill="auto"/>
            <w:vAlign w:val="center"/>
          </w:tcPr>
          <w:p w14:paraId="592F7499">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14" w:type="pct"/>
            <w:gridSpan w:val="2"/>
            <w:tcBorders>
              <w:top w:val="single" w:sz="4" w:space="0" w:color="000000"/>
              <w:left w:val="single" w:sz="4" w:space="0" w:color="000000"/>
              <w:bottom w:val="nil"/>
              <w:right w:val="single" w:sz="4" w:space="0" w:color="000000"/>
            </w:tcBorders>
            <w:shd w:val="clear" w:color="auto" w:fill="auto"/>
            <w:vAlign w:val="center"/>
          </w:tcPr>
          <w:p w14:paraId="4BA58BF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27" w:type="pct"/>
            <w:gridSpan w:val="2"/>
            <w:tcBorders>
              <w:top w:val="single" w:sz="4" w:space="0" w:color="000000"/>
              <w:left w:val="single" w:sz="4" w:space="0" w:color="000000"/>
              <w:bottom w:val="nil"/>
              <w:right w:val="single" w:sz="4" w:space="0" w:color="000000"/>
            </w:tcBorders>
            <w:shd w:val="clear" w:color="auto" w:fill="auto"/>
            <w:vAlign w:val="center"/>
          </w:tcPr>
          <w:p w14:paraId="6B617239">
            <w:pPr>
              <w:pStyle w:val="style0"/>
              <w:jc w:val="center"/>
              <w:rPr>
                <w:rFonts w:ascii="Times New Roman" w:cs="Times New Roman" w:eastAsia="宋体" w:hAnsi="Times New Roman" w:hint="default"/>
                <w:i w:val="false"/>
                <w:iCs w:val="false"/>
                <w:color w:val="000000"/>
                <w:sz w:val="18"/>
                <w:szCs w:val="18"/>
                <w:u w:val="none"/>
              </w:rPr>
            </w:pPr>
          </w:p>
        </w:tc>
      </w:tr>
      <w:tr w14:paraId="17BC735E">
        <w:tblPrEx/>
        <w:trPr>
          <w:trHeight w:val="840" w:hRule="atLeast"/>
        </w:trPr>
        <w:tc>
          <w:tcPr>
            <w:tcW w:w="431" w:type="pct"/>
            <w:vMerge w:val="continue"/>
            <w:tcBorders>
              <w:top w:val="single" w:sz="4" w:space="0" w:color="000000"/>
              <w:left w:val="single" w:sz="4" w:space="0" w:color="auto"/>
              <w:bottom w:val="nil"/>
              <w:right w:val="single" w:sz="4" w:space="0" w:color="000000"/>
            </w:tcBorders>
            <w:shd w:val="clear" w:color="auto" w:fill="auto"/>
            <w:vAlign w:val="center"/>
          </w:tcPr>
          <w:p w14:paraId="6A1990F2">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restart"/>
            <w:tcBorders>
              <w:top w:val="single" w:sz="4" w:space="0" w:color="000000"/>
              <w:left w:val="single" w:sz="4" w:space="0" w:color="000000"/>
              <w:bottom w:val="nil"/>
              <w:right w:val="single" w:sz="4" w:space="0" w:color="000000"/>
            </w:tcBorders>
            <w:shd w:val="clear" w:color="auto" w:fill="auto"/>
            <w:vAlign w:val="center"/>
          </w:tcPr>
          <w:p w14:paraId="01D01FC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效益指标</w:t>
            </w:r>
          </w:p>
        </w:tc>
        <w:tc>
          <w:tcPr>
            <w:tcW w:w="529" w:type="pct"/>
            <w:vMerge w:val="restart"/>
            <w:tcBorders>
              <w:top w:val="single" w:sz="4" w:space="0" w:color="000000"/>
              <w:left w:val="single" w:sz="4" w:space="0" w:color="000000"/>
              <w:bottom w:val="nil"/>
              <w:right w:val="single" w:sz="4" w:space="0" w:color="000000"/>
            </w:tcBorders>
            <w:shd w:val="clear" w:color="auto" w:fill="auto"/>
            <w:vAlign w:val="center"/>
          </w:tcPr>
          <w:p w14:paraId="483555D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社会效益</w:t>
            </w:r>
          </w:p>
        </w:tc>
        <w:tc>
          <w:tcPr>
            <w:tcW w:w="469" w:type="pct"/>
            <w:tcBorders>
              <w:top w:val="single" w:sz="4" w:space="0" w:color="000000"/>
              <w:left w:val="single" w:sz="4" w:space="0" w:color="000000"/>
              <w:bottom w:val="nil"/>
              <w:right w:val="single" w:sz="4" w:space="0" w:color="000000"/>
            </w:tcBorders>
            <w:shd w:val="clear" w:color="auto" w:fill="auto"/>
            <w:vAlign w:val="center"/>
          </w:tcPr>
          <w:p w14:paraId="2A6972D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执法人员业务水平</w:t>
            </w:r>
          </w:p>
        </w:tc>
        <w:tc>
          <w:tcPr>
            <w:tcW w:w="227" w:type="pct"/>
            <w:tcBorders>
              <w:top w:val="single" w:sz="4" w:space="0" w:color="000000"/>
              <w:left w:val="single" w:sz="4" w:space="0" w:color="000000"/>
              <w:bottom w:val="nil"/>
              <w:right w:val="single" w:sz="4" w:space="0" w:color="000000"/>
            </w:tcBorders>
            <w:shd w:val="clear" w:color="auto" w:fill="auto"/>
            <w:vAlign w:val="center"/>
          </w:tcPr>
          <w:p w14:paraId="5A04FF9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定性</w:t>
            </w:r>
          </w:p>
        </w:tc>
        <w:tc>
          <w:tcPr>
            <w:tcW w:w="425" w:type="pct"/>
            <w:tcBorders>
              <w:top w:val="single" w:sz="4" w:space="0" w:color="000000"/>
              <w:left w:val="single" w:sz="4" w:space="0" w:color="000000"/>
              <w:bottom w:val="nil"/>
              <w:right w:val="single" w:sz="4" w:space="0" w:color="000000"/>
            </w:tcBorders>
            <w:shd w:val="clear" w:color="auto" w:fill="auto"/>
            <w:vAlign w:val="center"/>
          </w:tcPr>
          <w:p w14:paraId="5162992F">
            <w:pPr>
              <w:pStyle w:val="style0"/>
              <w:jc w:val="center"/>
              <w:rPr>
                <w:rFonts w:ascii="Times New Roman" w:cs="Times New Roman" w:eastAsia="宋体" w:hAnsi="Times New Roman" w:hint="default"/>
                <w:i w:val="false"/>
                <w:iCs w:val="false"/>
                <w:color w:val="000000"/>
                <w:sz w:val="18"/>
                <w:szCs w:val="18"/>
                <w:u w:val="none"/>
              </w:rPr>
            </w:pPr>
          </w:p>
        </w:tc>
        <w:tc>
          <w:tcPr>
            <w:tcW w:w="278" w:type="pct"/>
            <w:gridSpan w:val="2"/>
            <w:tcBorders>
              <w:top w:val="single" w:sz="4" w:space="0" w:color="000000"/>
              <w:left w:val="single" w:sz="4" w:space="0" w:color="000000"/>
              <w:bottom w:val="nil"/>
              <w:right w:val="single" w:sz="4" w:space="0" w:color="000000"/>
            </w:tcBorders>
            <w:shd w:val="clear" w:color="auto" w:fill="auto"/>
            <w:vAlign w:val="center"/>
          </w:tcPr>
          <w:p w14:paraId="321BC11E">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有效提高</w:t>
            </w:r>
          </w:p>
        </w:tc>
        <w:tc>
          <w:tcPr>
            <w:tcW w:w="302" w:type="pct"/>
            <w:gridSpan w:val="2"/>
            <w:tcBorders>
              <w:top w:val="single" w:sz="4" w:space="0" w:color="000000"/>
              <w:left w:val="single" w:sz="4" w:space="0" w:color="000000"/>
              <w:bottom w:val="nil"/>
              <w:right w:val="single" w:sz="4" w:space="0" w:color="000000"/>
            </w:tcBorders>
            <w:shd w:val="clear" w:color="auto" w:fill="auto"/>
            <w:vAlign w:val="center"/>
          </w:tcPr>
          <w:p w14:paraId="31DB67B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95</w:t>
            </w:r>
          </w:p>
        </w:tc>
        <w:tc>
          <w:tcPr>
            <w:tcW w:w="664" w:type="pct"/>
            <w:gridSpan w:val="2"/>
            <w:tcBorders>
              <w:top w:val="single" w:sz="4" w:space="0" w:color="000000"/>
              <w:left w:val="single" w:sz="4" w:space="0" w:color="000000"/>
              <w:bottom w:val="nil"/>
              <w:right w:val="single" w:sz="4" w:space="0" w:color="000000"/>
            </w:tcBorders>
            <w:shd w:val="clear" w:color="auto" w:fill="auto"/>
            <w:vAlign w:val="center"/>
          </w:tcPr>
          <w:p w14:paraId="6C1B3973">
            <w:pPr>
              <w:pStyle w:val="style0"/>
              <w:jc w:val="center"/>
              <w:rPr>
                <w:rFonts w:ascii="Times New Roman" w:cs="Times New Roman" w:eastAsia="宋体" w:hAnsi="Times New Roman" w:hint="default"/>
                <w:i w:val="false"/>
                <w:iCs w:val="false"/>
                <w:color w:val="000000"/>
                <w:sz w:val="18"/>
                <w:szCs w:val="18"/>
                <w:u w:val="none"/>
              </w:rPr>
            </w:pPr>
          </w:p>
        </w:tc>
        <w:tc>
          <w:tcPr>
            <w:tcW w:w="397" w:type="pct"/>
            <w:gridSpan w:val="2"/>
            <w:tcBorders>
              <w:top w:val="single" w:sz="4" w:space="0" w:color="000000"/>
              <w:left w:val="single" w:sz="4" w:space="0" w:color="000000"/>
              <w:bottom w:val="nil"/>
              <w:right w:val="single" w:sz="4" w:space="0" w:color="000000"/>
            </w:tcBorders>
            <w:shd w:val="clear" w:color="auto" w:fill="auto"/>
            <w:vAlign w:val="center"/>
          </w:tcPr>
          <w:p w14:paraId="7503A10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15</w:t>
            </w:r>
          </w:p>
        </w:tc>
        <w:tc>
          <w:tcPr>
            <w:tcW w:w="414" w:type="pct"/>
            <w:gridSpan w:val="2"/>
            <w:tcBorders>
              <w:top w:val="single" w:sz="4" w:space="0" w:color="000000"/>
              <w:left w:val="single" w:sz="4" w:space="0" w:color="000000"/>
              <w:bottom w:val="nil"/>
              <w:right w:val="single" w:sz="4" w:space="0" w:color="000000"/>
            </w:tcBorders>
            <w:shd w:val="clear" w:color="auto" w:fill="auto"/>
            <w:vAlign w:val="center"/>
          </w:tcPr>
          <w:p w14:paraId="7E3860D1">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15</w:t>
            </w:r>
          </w:p>
        </w:tc>
        <w:tc>
          <w:tcPr>
            <w:tcW w:w="427" w:type="pct"/>
            <w:gridSpan w:val="2"/>
            <w:tcBorders>
              <w:top w:val="single" w:sz="4" w:space="0" w:color="000000"/>
              <w:left w:val="single" w:sz="4" w:space="0" w:color="000000"/>
              <w:bottom w:val="nil"/>
              <w:right w:val="single" w:sz="4" w:space="0" w:color="000000"/>
            </w:tcBorders>
            <w:shd w:val="clear" w:color="auto" w:fill="auto"/>
            <w:vAlign w:val="center"/>
          </w:tcPr>
          <w:p w14:paraId="5BC352FC">
            <w:pPr>
              <w:pStyle w:val="style0"/>
              <w:jc w:val="center"/>
              <w:rPr>
                <w:rFonts w:ascii="Times New Roman" w:cs="Times New Roman" w:eastAsia="宋体" w:hAnsi="Times New Roman" w:hint="default"/>
                <w:i w:val="false"/>
                <w:iCs w:val="false"/>
                <w:color w:val="000000"/>
                <w:sz w:val="18"/>
                <w:szCs w:val="18"/>
                <w:u w:val="none"/>
              </w:rPr>
            </w:pPr>
          </w:p>
        </w:tc>
      </w:tr>
      <w:tr w14:paraId="448EC8F2">
        <w:tblPrEx/>
        <w:trPr>
          <w:trHeight w:val="840" w:hRule="atLeast"/>
        </w:trPr>
        <w:tc>
          <w:tcPr>
            <w:tcW w:w="431" w:type="pct"/>
            <w:vMerge w:val="continue"/>
            <w:tcBorders>
              <w:top w:val="single" w:sz="4" w:space="0" w:color="000000"/>
              <w:left w:val="single" w:sz="4" w:space="0" w:color="auto"/>
              <w:bottom w:val="nil"/>
              <w:right w:val="single" w:sz="4" w:space="0" w:color="000000"/>
            </w:tcBorders>
            <w:shd w:val="clear" w:color="auto" w:fill="auto"/>
            <w:vAlign w:val="center"/>
          </w:tcPr>
          <w:p w14:paraId="0D0886B1">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000000"/>
              <w:left w:val="single" w:sz="4" w:space="0" w:color="000000"/>
              <w:bottom w:val="nil"/>
              <w:right w:val="single" w:sz="4" w:space="0" w:color="000000"/>
            </w:tcBorders>
            <w:shd w:val="clear" w:color="auto" w:fill="auto"/>
            <w:vAlign w:val="center"/>
          </w:tcPr>
          <w:p w14:paraId="5B74E0AA">
            <w:pPr>
              <w:pStyle w:val="style0"/>
              <w:jc w:val="center"/>
              <w:rPr>
                <w:rFonts w:ascii="Times New Roman" w:cs="Times New Roman" w:eastAsia="宋体" w:hAnsi="Times New Roman" w:hint="default"/>
                <w:i w:val="false"/>
                <w:iCs w:val="false"/>
                <w:color w:val="000000"/>
                <w:sz w:val="18"/>
                <w:szCs w:val="18"/>
                <w:u w:val="none"/>
              </w:rPr>
            </w:pPr>
          </w:p>
        </w:tc>
        <w:tc>
          <w:tcPr>
            <w:tcW w:w="529" w:type="pct"/>
            <w:vMerge w:val="continue"/>
            <w:tcBorders>
              <w:top w:val="single" w:sz="4" w:space="0" w:color="000000"/>
              <w:left w:val="single" w:sz="4" w:space="0" w:color="000000"/>
              <w:bottom w:val="nil"/>
              <w:right w:val="single" w:sz="4" w:space="0" w:color="000000"/>
            </w:tcBorders>
            <w:shd w:val="clear" w:color="auto" w:fill="auto"/>
            <w:vAlign w:val="center"/>
          </w:tcPr>
          <w:p w14:paraId="4BCE7CB1">
            <w:pPr>
              <w:pStyle w:val="style0"/>
              <w:jc w:val="center"/>
              <w:rPr>
                <w:rFonts w:ascii="Times New Roman" w:cs="Times New Roman" w:eastAsia="宋体" w:hAnsi="Times New Roman" w:hint="default"/>
                <w:i w:val="false"/>
                <w:iCs w:val="false"/>
                <w:color w:val="000000"/>
                <w:sz w:val="18"/>
                <w:szCs w:val="18"/>
                <w:u w:val="none"/>
              </w:rPr>
            </w:pPr>
          </w:p>
        </w:tc>
        <w:tc>
          <w:tcPr>
            <w:tcW w:w="469" w:type="pct"/>
            <w:tcBorders>
              <w:top w:val="single" w:sz="4" w:space="0" w:color="000000"/>
              <w:left w:val="single" w:sz="4" w:space="0" w:color="000000"/>
              <w:bottom w:val="nil"/>
              <w:right w:val="single" w:sz="4" w:space="0" w:color="000000"/>
            </w:tcBorders>
            <w:shd w:val="clear" w:color="auto" w:fill="auto"/>
            <w:vAlign w:val="center"/>
          </w:tcPr>
          <w:p w14:paraId="6C831B7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业主法律知识</w:t>
            </w:r>
          </w:p>
        </w:tc>
        <w:tc>
          <w:tcPr>
            <w:tcW w:w="227" w:type="pct"/>
            <w:tcBorders>
              <w:top w:val="single" w:sz="4" w:space="0" w:color="000000"/>
              <w:left w:val="single" w:sz="4" w:space="0" w:color="000000"/>
              <w:bottom w:val="nil"/>
              <w:right w:val="single" w:sz="4" w:space="0" w:color="000000"/>
            </w:tcBorders>
            <w:shd w:val="clear" w:color="auto" w:fill="auto"/>
            <w:vAlign w:val="center"/>
          </w:tcPr>
          <w:p w14:paraId="4E12758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定性</w:t>
            </w:r>
          </w:p>
        </w:tc>
        <w:tc>
          <w:tcPr>
            <w:tcW w:w="425" w:type="pct"/>
            <w:tcBorders>
              <w:top w:val="single" w:sz="4" w:space="0" w:color="000000"/>
              <w:left w:val="single" w:sz="4" w:space="0" w:color="000000"/>
              <w:bottom w:val="nil"/>
              <w:right w:val="single" w:sz="4" w:space="0" w:color="000000"/>
            </w:tcBorders>
            <w:shd w:val="clear" w:color="auto" w:fill="auto"/>
            <w:vAlign w:val="center"/>
          </w:tcPr>
          <w:p w14:paraId="7475E26C">
            <w:pPr>
              <w:pStyle w:val="style0"/>
              <w:jc w:val="center"/>
              <w:rPr>
                <w:rFonts w:ascii="Times New Roman" w:cs="Times New Roman" w:eastAsia="宋体" w:hAnsi="Times New Roman" w:hint="default"/>
                <w:i w:val="false"/>
                <w:iCs w:val="false"/>
                <w:color w:val="000000"/>
                <w:sz w:val="18"/>
                <w:szCs w:val="18"/>
                <w:u w:val="none"/>
              </w:rPr>
            </w:pPr>
          </w:p>
        </w:tc>
        <w:tc>
          <w:tcPr>
            <w:tcW w:w="278" w:type="pct"/>
            <w:gridSpan w:val="2"/>
            <w:tcBorders>
              <w:top w:val="single" w:sz="4" w:space="0" w:color="000000"/>
              <w:left w:val="single" w:sz="4" w:space="0" w:color="000000"/>
              <w:bottom w:val="nil"/>
              <w:right w:val="single" w:sz="4" w:space="0" w:color="000000"/>
            </w:tcBorders>
            <w:shd w:val="clear" w:color="auto" w:fill="auto"/>
            <w:vAlign w:val="center"/>
          </w:tcPr>
          <w:p w14:paraId="7D8B2D06">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有效提高</w:t>
            </w:r>
          </w:p>
        </w:tc>
        <w:tc>
          <w:tcPr>
            <w:tcW w:w="302" w:type="pct"/>
            <w:gridSpan w:val="2"/>
            <w:tcBorders>
              <w:top w:val="single" w:sz="4" w:space="0" w:color="000000"/>
              <w:left w:val="single" w:sz="4" w:space="0" w:color="000000"/>
              <w:bottom w:val="nil"/>
              <w:right w:val="single" w:sz="4" w:space="0" w:color="000000"/>
            </w:tcBorders>
            <w:shd w:val="clear" w:color="auto" w:fill="auto"/>
            <w:vAlign w:val="center"/>
          </w:tcPr>
          <w:p w14:paraId="67B30E84">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95</w:t>
            </w:r>
          </w:p>
        </w:tc>
        <w:tc>
          <w:tcPr>
            <w:tcW w:w="664" w:type="pct"/>
            <w:gridSpan w:val="2"/>
            <w:tcBorders>
              <w:top w:val="single" w:sz="4" w:space="0" w:color="000000"/>
              <w:left w:val="single" w:sz="4" w:space="0" w:color="000000"/>
              <w:bottom w:val="nil"/>
              <w:right w:val="single" w:sz="4" w:space="0" w:color="000000"/>
            </w:tcBorders>
            <w:shd w:val="clear" w:color="auto" w:fill="auto"/>
            <w:vAlign w:val="center"/>
          </w:tcPr>
          <w:p w14:paraId="1DC87726">
            <w:pPr>
              <w:pStyle w:val="style0"/>
              <w:jc w:val="center"/>
              <w:rPr>
                <w:rFonts w:ascii="Times New Roman" w:cs="Times New Roman" w:eastAsia="宋体" w:hAnsi="Times New Roman" w:hint="default"/>
                <w:i w:val="false"/>
                <w:iCs w:val="false"/>
                <w:color w:val="000000"/>
                <w:sz w:val="18"/>
                <w:szCs w:val="18"/>
                <w:u w:val="none"/>
              </w:rPr>
            </w:pPr>
          </w:p>
        </w:tc>
        <w:tc>
          <w:tcPr>
            <w:tcW w:w="397" w:type="pct"/>
            <w:gridSpan w:val="2"/>
            <w:tcBorders>
              <w:top w:val="single" w:sz="4" w:space="0" w:color="000000"/>
              <w:left w:val="single" w:sz="4" w:space="0" w:color="000000"/>
              <w:bottom w:val="nil"/>
              <w:right w:val="single" w:sz="4" w:space="0" w:color="000000"/>
            </w:tcBorders>
            <w:shd w:val="clear" w:color="auto" w:fill="auto"/>
            <w:vAlign w:val="center"/>
          </w:tcPr>
          <w:p w14:paraId="7111B95B">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414" w:type="pct"/>
            <w:gridSpan w:val="2"/>
            <w:tcBorders>
              <w:top w:val="single" w:sz="4" w:space="0" w:color="000000"/>
              <w:left w:val="single" w:sz="4" w:space="0" w:color="000000"/>
              <w:bottom w:val="nil"/>
              <w:right w:val="single" w:sz="4" w:space="0" w:color="000000"/>
            </w:tcBorders>
            <w:shd w:val="clear" w:color="auto" w:fill="auto"/>
            <w:vAlign w:val="center"/>
          </w:tcPr>
          <w:p w14:paraId="08BABFB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427" w:type="pct"/>
            <w:gridSpan w:val="2"/>
            <w:tcBorders>
              <w:top w:val="single" w:sz="4" w:space="0" w:color="000000"/>
              <w:left w:val="single" w:sz="4" w:space="0" w:color="000000"/>
              <w:bottom w:val="nil"/>
              <w:right w:val="single" w:sz="4" w:space="0" w:color="000000"/>
            </w:tcBorders>
            <w:shd w:val="clear" w:color="auto" w:fill="auto"/>
            <w:vAlign w:val="center"/>
          </w:tcPr>
          <w:p w14:paraId="3A7C48EA">
            <w:pPr>
              <w:pStyle w:val="style0"/>
              <w:jc w:val="center"/>
              <w:rPr>
                <w:rFonts w:ascii="Times New Roman" w:cs="Times New Roman" w:eastAsia="宋体" w:hAnsi="Times New Roman" w:hint="default"/>
                <w:i w:val="false"/>
                <w:iCs w:val="false"/>
                <w:color w:val="000000"/>
                <w:sz w:val="18"/>
                <w:szCs w:val="18"/>
                <w:u w:val="none"/>
              </w:rPr>
            </w:pPr>
          </w:p>
        </w:tc>
      </w:tr>
      <w:tr w14:paraId="1FEC61AC">
        <w:tblPrEx/>
        <w:trPr>
          <w:trHeight w:val="840" w:hRule="atLeast"/>
        </w:trPr>
        <w:tc>
          <w:tcPr>
            <w:tcW w:w="431" w:type="pct"/>
            <w:vMerge w:val="continue"/>
            <w:tcBorders>
              <w:top w:val="single" w:sz="4" w:space="0" w:color="000000"/>
              <w:left w:val="single" w:sz="4" w:space="0" w:color="auto"/>
              <w:bottom w:val="nil"/>
              <w:right w:val="single" w:sz="4" w:space="0" w:color="000000"/>
            </w:tcBorders>
            <w:shd w:val="clear" w:color="auto" w:fill="auto"/>
            <w:vAlign w:val="center"/>
          </w:tcPr>
          <w:p w14:paraId="4ECF8BF6">
            <w:pPr>
              <w:pStyle w:val="style0"/>
              <w:jc w:val="center"/>
              <w:rPr>
                <w:rFonts w:ascii="Times New Roman" w:cs="Times New Roman" w:eastAsia="宋体" w:hAnsi="Times New Roman" w:hint="default"/>
                <w:i w:val="false"/>
                <w:iCs w:val="false"/>
                <w:color w:val="000000"/>
                <w:sz w:val="18"/>
                <w:szCs w:val="18"/>
                <w:u w:val="none"/>
              </w:rPr>
            </w:pPr>
          </w:p>
        </w:tc>
        <w:tc>
          <w:tcPr>
            <w:tcW w:w="431" w:type="pct"/>
            <w:vMerge w:val="continue"/>
            <w:tcBorders>
              <w:top w:val="single" w:sz="4" w:space="0" w:color="000000"/>
              <w:left w:val="single" w:sz="4" w:space="0" w:color="000000"/>
              <w:bottom w:val="nil"/>
              <w:right w:val="single" w:sz="4" w:space="0" w:color="000000"/>
            </w:tcBorders>
            <w:shd w:val="clear" w:color="auto" w:fill="auto"/>
            <w:vAlign w:val="center"/>
          </w:tcPr>
          <w:p w14:paraId="4C747199">
            <w:pPr>
              <w:pStyle w:val="style0"/>
              <w:jc w:val="center"/>
              <w:rPr>
                <w:rFonts w:ascii="Times New Roman" w:cs="Times New Roman" w:eastAsia="宋体" w:hAnsi="Times New Roman" w:hint="default"/>
                <w:i w:val="false"/>
                <w:iCs w:val="false"/>
                <w:color w:val="000000"/>
                <w:sz w:val="18"/>
                <w:szCs w:val="18"/>
                <w:u w:val="none"/>
              </w:rPr>
            </w:pPr>
          </w:p>
        </w:tc>
        <w:tc>
          <w:tcPr>
            <w:tcW w:w="529" w:type="pct"/>
            <w:tcBorders>
              <w:top w:val="single" w:sz="4" w:space="0" w:color="000000"/>
              <w:left w:val="single" w:sz="4" w:space="0" w:color="000000"/>
              <w:bottom w:val="nil"/>
              <w:right w:val="single" w:sz="4" w:space="0" w:color="000000"/>
            </w:tcBorders>
            <w:shd w:val="clear" w:color="auto" w:fill="auto"/>
            <w:vAlign w:val="center"/>
          </w:tcPr>
          <w:p w14:paraId="5F43C466">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可持续影响</w:t>
            </w:r>
          </w:p>
        </w:tc>
        <w:tc>
          <w:tcPr>
            <w:tcW w:w="469" w:type="pct"/>
            <w:tcBorders>
              <w:top w:val="single" w:sz="4" w:space="0" w:color="000000"/>
              <w:left w:val="single" w:sz="4" w:space="0" w:color="000000"/>
              <w:bottom w:val="nil"/>
              <w:right w:val="single" w:sz="4" w:space="0" w:color="000000"/>
            </w:tcBorders>
            <w:shd w:val="clear" w:color="auto" w:fill="auto"/>
            <w:vAlign w:val="center"/>
          </w:tcPr>
          <w:p w14:paraId="612626A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项目持续发挥作用的期限</w:t>
            </w:r>
          </w:p>
        </w:tc>
        <w:tc>
          <w:tcPr>
            <w:tcW w:w="227" w:type="pct"/>
            <w:tcBorders>
              <w:top w:val="single" w:sz="4" w:space="0" w:color="000000"/>
              <w:left w:val="single" w:sz="4" w:space="0" w:color="000000"/>
              <w:bottom w:val="nil"/>
              <w:right w:val="single" w:sz="4" w:space="0" w:color="000000"/>
            </w:tcBorders>
            <w:shd w:val="clear" w:color="auto" w:fill="auto"/>
            <w:vAlign w:val="center"/>
          </w:tcPr>
          <w:p w14:paraId="016669F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定性</w:t>
            </w:r>
          </w:p>
        </w:tc>
        <w:tc>
          <w:tcPr>
            <w:tcW w:w="425" w:type="pct"/>
            <w:tcBorders>
              <w:top w:val="single" w:sz="4" w:space="0" w:color="000000"/>
              <w:left w:val="single" w:sz="4" w:space="0" w:color="000000"/>
              <w:bottom w:val="nil"/>
              <w:right w:val="single" w:sz="4" w:space="0" w:color="000000"/>
            </w:tcBorders>
            <w:shd w:val="clear" w:color="auto" w:fill="auto"/>
            <w:vAlign w:val="center"/>
          </w:tcPr>
          <w:p w14:paraId="16D555A4">
            <w:pPr>
              <w:pStyle w:val="style0"/>
              <w:jc w:val="center"/>
              <w:rPr>
                <w:rFonts w:ascii="Times New Roman" w:cs="Times New Roman" w:eastAsia="宋体" w:hAnsi="Times New Roman" w:hint="default"/>
                <w:i w:val="false"/>
                <w:iCs w:val="false"/>
                <w:color w:val="000000"/>
                <w:sz w:val="18"/>
                <w:szCs w:val="18"/>
                <w:u w:val="none"/>
              </w:rPr>
            </w:pPr>
          </w:p>
        </w:tc>
        <w:tc>
          <w:tcPr>
            <w:tcW w:w="278" w:type="pct"/>
            <w:gridSpan w:val="2"/>
            <w:tcBorders>
              <w:top w:val="single" w:sz="4" w:space="0" w:color="000000"/>
              <w:left w:val="single" w:sz="4" w:space="0" w:color="000000"/>
              <w:bottom w:val="nil"/>
              <w:right w:val="single" w:sz="4" w:space="0" w:color="000000"/>
            </w:tcBorders>
            <w:shd w:val="clear" w:color="auto" w:fill="auto"/>
            <w:vAlign w:val="center"/>
          </w:tcPr>
          <w:p w14:paraId="198C2645">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长期</w:t>
            </w:r>
          </w:p>
        </w:tc>
        <w:tc>
          <w:tcPr>
            <w:tcW w:w="302" w:type="pct"/>
            <w:gridSpan w:val="2"/>
            <w:tcBorders>
              <w:top w:val="single" w:sz="4" w:space="0" w:color="000000"/>
              <w:left w:val="single" w:sz="4" w:space="0" w:color="000000"/>
              <w:bottom w:val="nil"/>
              <w:right w:val="single" w:sz="4" w:space="0" w:color="000000"/>
            </w:tcBorders>
            <w:shd w:val="clear" w:color="auto" w:fill="auto"/>
            <w:vAlign w:val="center"/>
          </w:tcPr>
          <w:p w14:paraId="7475885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95</w:t>
            </w:r>
          </w:p>
        </w:tc>
        <w:tc>
          <w:tcPr>
            <w:tcW w:w="664" w:type="pct"/>
            <w:gridSpan w:val="2"/>
            <w:tcBorders>
              <w:top w:val="single" w:sz="4" w:space="0" w:color="000000"/>
              <w:left w:val="single" w:sz="4" w:space="0" w:color="000000"/>
              <w:bottom w:val="nil"/>
              <w:right w:val="single" w:sz="4" w:space="0" w:color="000000"/>
            </w:tcBorders>
            <w:shd w:val="clear" w:color="auto" w:fill="auto"/>
            <w:vAlign w:val="center"/>
          </w:tcPr>
          <w:p w14:paraId="7039CC29">
            <w:pPr>
              <w:pStyle w:val="style0"/>
              <w:jc w:val="center"/>
              <w:rPr>
                <w:rFonts w:ascii="Times New Roman" w:cs="Times New Roman" w:eastAsia="宋体" w:hAnsi="Times New Roman" w:hint="default"/>
                <w:i w:val="false"/>
                <w:iCs w:val="false"/>
                <w:color w:val="000000"/>
                <w:sz w:val="18"/>
                <w:szCs w:val="18"/>
                <w:u w:val="none"/>
              </w:rPr>
            </w:pPr>
          </w:p>
        </w:tc>
        <w:tc>
          <w:tcPr>
            <w:tcW w:w="397" w:type="pct"/>
            <w:gridSpan w:val="2"/>
            <w:tcBorders>
              <w:top w:val="single" w:sz="4" w:space="0" w:color="000000"/>
              <w:left w:val="single" w:sz="4" w:space="0" w:color="000000"/>
              <w:bottom w:val="nil"/>
              <w:right w:val="single" w:sz="4" w:space="0" w:color="000000"/>
            </w:tcBorders>
            <w:shd w:val="clear" w:color="auto" w:fill="auto"/>
            <w:vAlign w:val="center"/>
          </w:tcPr>
          <w:p w14:paraId="7B492561">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14" w:type="pct"/>
            <w:gridSpan w:val="2"/>
            <w:tcBorders>
              <w:top w:val="single" w:sz="4" w:space="0" w:color="000000"/>
              <w:left w:val="single" w:sz="4" w:space="0" w:color="000000"/>
              <w:bottom w:val="nil"/>
              <w:right w:val="single" w:sz="4" w:space="0" w:color="000000"/>
            </w:tcBorders>
            <w:shd w:val="clear" w:color="auto" w:fill="auto"/>
            <w:vAlign w:val="center"/>
          </w:tcPr>
          <w:p w14:paraId="06435DA3">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5</w:t>
            </w:r>
          </w:p>
        </w:tc>
        <w:tc>
          <w:tcPr>
            <w:tcW w:w="427" w:type="pct"/>
            <w:gridSpan w:val="2"/>
            <w:tcBorders>
              <w:top w:val="single" w:sz="4" w:space="0" w:color="000000"/>
              <w:left w:val="single" w:sz="4" w:space="0" w:color="000000"/>
              <w:bottom w:val="nil"/>
              <w:right w:val="single" w:sz="4" w:space="0" w:color="000000"/>
            </w:tcBorders>
            <w:shd w:val="clear" w:color="auto" w:fill="auto"/>
            <w:vAlign w:val="center"/>
          </w:tcPr>
          <w:p w14:paraId="2133947F">
            <w:pPr>
              <w:pStyle w:val="style0"/>
              <w:jc w:val="center"/>
              <w:rPr>
                <w:rFonts w:ascii="Times New Roman" w:cs="Times New Roman" w:eastAsia="宋体" w:hAnsi="Times New Roman" w:hint="default"/>
                <w:i w:val="false"/>
                <w:iCs w:val="false"/>
                <w:color w:val="000000"/>
                <w:sz w:val="18"/>
                <w:szCs w:val="18"/>
                <w:u w:val="none"/>
              </w:rPr>
            </w:pPr>
          </w:p>
        </w:tc>
      </w:tr>
      <w:tr w14:paraId="6CD97995">
        <w:tblPrEx/>
        <w:trPr>
          <w:trHeight w:val="840" w:hRule="atLeast"/>
        </w:trPr>
        <w:tc>
          <w:tcPr>
            <w:tcW w:w="431" w:type="pct"/>
            <w:vMerge w:val="continue"/>
            <w:tcBorders>
              <w:top w:val="single" w:sz="4" w:space="0" w:color="000000"/>
              <w:left w:val="single" w:sz="4" w:space="0" w:color="auto"/>
              <w:bottom w:val="nil"/>
              <w:right w:val="single" w:sz="4" w:space="0" w:color="000000"/>
            </w:tcBorders>
            <w:shd w:val="clear" w:color="auto" w:fill="auto"/>
            <w:vAlign w:val="center"/>
          </w:tcPr>
          <w:p w14:paraId="5A7FB94E">
            <w:pPr>
              <w:pStyle w:val="style0"/>
              <w:jc w:val="center"/>
              <w:rPr>
                <w:rFonts w:ascii="Times New Roman" w:cs="Times New Roman" w:eastAsia="宋体" w:hAnsi="Times New Roman" w:hint="default"/>
                <w:i w:val="false"/>
                <w:iCs w:val="false"/>
                <w:color w:val="000000"/>
                <w:sz w:val="18"/>
                <w:szCs w:val="18"/>
                <w:u w:val="none"/>
              </w:rPr>
            </w:pPr>
          </w:p>
        </w:tc>
        <w:tc>
          <w:tcPr>
            <w:tcW w:w="431" w:type="pct"/>
            <w:tcBorders>
              <w:top w:val="single" w:sz="4" w:space="0" w:color="000000"/>
              <w:left w:val="single" w:sz="4" w:space="0" w:color="000000"/>
              <w:bottom w:val="nil"/>
              <w:right w:val="single" w:sz="4" w:space="0" w:color="000000"/>
            </w:tcBorders>
            <w:shd w:val="clear" w:color="auto" w:fill="auto"/>
            <w:vAlign w:val="center"/>
          </w:tcPr>
          <w:p w14:paraId="63D2F13D">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满意度指标</w:t>
            </w:r>
          </w:p>
        </w:tc>
        <w:tc>
          <w:tcPr>
            <w:tcW w:w="529" w:type="pct"/>
            <w:tcBorders>
              <w:top w:val="single" w:sz="4" w:space="0" w:color="000000"/>
              <w:left w:val="single" w:sz="4" w:space="0" w:color="000000"/>
              <w:bottom w:val="nil"/>
              <w:right w:val="single" w:sz="4" w:space="0" w:color="000000"/>
            </w:tcBorders>
            <w:shd w:val="clear" w:color="auto" w:fill="auto"/>
            <w:vAlign w:val="center"/>
          </w:tcPr>
          <w:p w14:paraId="546C9AA2">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服务对象满意度</w:t>
            </w:r>
          </w:p>
        </w:tc>
        <w:tc>
          <w:tcPr>
            <w:tcW w:w="469" w:type="pct"/>
            <w:tcBorders>
              <w:top w:val="single" w:sz="4" w:space="0" w:color="000000"/>
              <w:left w:val="single" w:sz="4" w:space="0" w:color="000000"/>
              <w:bottom w:val="nil"/>
              <w:right w:val="single" w:sz="4" w:space="0" w:color="000000"/>
            </w:tcBorders>
            <w:shd w:val="clear" w:color="auto" w:fill="auto"/>
            <w:vAlign w:val="center"/>
          </w:tcPr>
          <w:p w14:paraId="67473B40">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业主满意度</w:t>
            </w:r>
          </w:p>
        </w:tc>
        <w:tc>
          <w:tcPr>
            <w:tcW w:w="227" w:type="pct"/>
            <w:tcBorders>
              <w:top w:val="single" w:sz="4" w:space="0" w:color="000000"/>
              <w:left w:val="single" w:sz="4" w:space="0" w:color="000000"/>
              <w:bottom w:val="nil"/>
              <w:right w:val="single" w:sz="4" w:space="0" w:color="000000"/>
            </w:tcBorders>
            <w:shd w:val="clear" w:color="auto" w:fill="auto"/>
            <w:vAlign w:val="center"/>
          </w:tcPr>
          <w:p w14:paraId="2B5072B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正向</w:t>
            </w:r>
          </w:p>
        </w:tc>
        <w:tc>
          <w:tcPr>
            <w:tcW w:w="425" w:type="pct"/>
            <w:tcBorders>
              <w:top w:val="single" w:sz="4" w:space="0" w:color="000000"/>
              <w:left w:val="single" w:sz="4" w:space="0" w:color="000000"/>
              <w:bottom w:val="nil"/>
              <w:right w:val="single" w:sz="4" w:space="0" w:color="000000"/>
            </w:tcBorders>
            <w:shd w:val="clear" w:color="auto" w:fill="auto"/>
            <w:vAlign w:val="center"/>
          </w:tcPr>
          <w:p w14:paraId="1707BEFC">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大于等于</w:t>
            </w:r>
          </w:p>
        </w:tc>
        <w:tc>
          <w:tcPr>
            <w:tcW w:w="278" w:type="pct"/>
            <w:gridSpan w:val="2"/>
            <w:tcBorders>
              <w:top w:val="single" w:sz="4" w:space="0" w:color="000000"/>
              <w:left w:val="single" w:sz="4" w:space="0" w:color="000000"/>
              <w:bottom w:val="nil"/>
              <w:right w:val="single" w:sz="4" w:space="0" w:color="000000"/>
            </w:tcBorders>
            <w:shd w:val="clear" w:color="auto" w:fill="auto"/>
            <w:vAlign w:val="center"/>
          </w:tcPr>
          <w:p w14:paraId="046AB068">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95</w:t>
            </w:r>
          </w:p>
        </w:tc>
        <w:tc>
          <w:tcPr>
            <w:tcW w:w="302" w:type="pct"/>
            <w:gridSpan w:val="2"/>
            <w:tcBorders>
              <w:top w:val="single" w:sz="4" w:space="0" w:color="000000"/>
              <w:left w:val="single" w:sz="4" w:space="0" w:color="000000"/>
              <w:bottom w:val="nil"/>
              <w:right w:val="single" w:sz="4" w:space="0" w:color="000000"/>
            </w:tcBorders>
            <w:shd w:val="clear" w:color="auto" w:fill="auto"/>
            <w:vAlign w:val="center"/>
          </w:tcPr>
          <w:p w14:paraId="7B8DD78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95</w:t>
            </w:r>
          </w:p>
        </w:tc>
        <w:tc>
          <w:tcPr>
            <w:tcW w:w="664" w:type="pct"/>
            <w:gridSpan w:val="2"/>
            <w:tcBorders>
              <w:top w:val="single" w:sz="4" w:space="0" w:color="000000"/>
              <w:left w:val="single" w:sz="4" w:space="0" w:color="000000"/>
              <w:bottom w:val="nil"/>
              <w:right w:val="single" w:sz="4" w:space="0" w:color="000000"/>
            </w:tcBorders>
            <w:shd w:val="clear" w:color="auto" w:fill="auto"/>
            <w:vAlign w:val="center"/>
          </w:tcPr>
          <w:p w14:paraId="0018844F">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w:t>
            </w:r>
          </w:p>
        </w:tc>
        <w:tc>
          <w:tcPr>
            <w:tcW w:w="397" w:type="pct"/>
            <w:gridSpan w:val="2"/>
            <w:tcBorders>
              <w:top w:val="single" w:sz="4" w:space="0" w:color="000000"/>
              <w:left w:val="single" w:sz="4" w:space="0" w:color="000000"/>
              <w:bottom w:val="nil"/>
              <w:right w:val="single" w:sz="4" w:space="0" w:color="000000"/>
            </w:tcBorders>
            <w:shd w:val="clear" w:color="auto" w:fill="auto"/>
            <w:vAlign w:val="center"/>
          </w:tcPr>
          <w:p w14:paraId="00BF8B3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414" w:type="pct"/>
            <w:gridSpan w:val="2"/>
            <w:tcBorders>
              <w:top w:val="single" w:sz="4" w:space="0" w:color="000000"/>
              <w:left w:val="single" w:sz="4" w:space="0" w:color="000000"/>
              <w:bottom w:val="nil"/>
              <w:right w:val="single" w:sz="4" w:space="0" w:color="000000"/>
            </w:tcBorders>
            <w:shd w:val="clear" w:color="auto" w:fill="auto"/>
            <w:vAlign w:val="center"/>
          </w:tcPr>
          <w:p w14:paraId="1F69A65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w:t>
            </w:r>
          </w:p>
        </w:tc>
        <w:tc>
          <w:tcPr>
            <w:tcW w:w="427" w:type="pct"/>
            <w:gridSpan w:val="2"/>
            <w:tcBorders>
              <w:top w:val="single" w:sz="4" w:space="0" w:color="000000"/>
              <w:left w:val="single" w:sz="4" w:space="0" w:color="000000"/>
              <w:bottom w:val="nil"/>
              <w:right w:val="single" w:sz="4" w:space="0" w:color="000000"/>
            </w:tcBorders>
            <w:shd w:val="clear" w:color="auto" w:fill="auto"/>
            <w:vAlign w:val="center"/>
          </w:tcPr>
          <w:p w14:paraId="1686C0B1">
            <w:pPr>
              <w:pStyle w:val="style0"/>
              <w:jc w:val="center"/>
              <w:rPr>
                <w:rFonts w:ascii="Times New Roman" w:cs="Times New Roman" w:eastAsia="宋体" w:hAnsi="Times New Roman" w:hint="default"/>
                <w:i w:val="false"/>
                <w:iCs w:val="false"/>
                <w:color w:val="000000"/>
                <w:sz w:val="18"/>
                <w:szCs w:val="18"/>
                <w:u w:val="none"/>
              </w:rPr>
            </w:pPr>
          </w:p>
        </w:tc>
      </w:tr>
      <w:tr w14:paraId="5CC6561C">
        <w:tblPrEx/>
        <w:trPr>
          <w:gridAfter w:val="1"/>
          <w:wAfter w:w="58" w:type="pct"/>
          <w:trHeight w:val="840" w:hRule="atLeast"/>
        </w:trPr>
        <w:tc>
          <w:tcPr>
            <w:tcW w:w="3701" w:type="pct"/>
            <w:gridSpan w:val="11"/>
            <w:tcBorders>
              <w:top w:val="single" w:sz="4" w:space="0" w:color="000000"/>
              <w:left w:val="single" w:sz="4" w:space="0" w:color="000000"/>
              <w:bottom w:val="single" w:sz="4" w:space="0" w:color="000000"/>
              <w:right w:val="single" w:sz="4" w:space="0" w:color="000000"/>
            </w:tcBorders>
            <w:shd w:val="clear" w:color="auto" w:fill="auto"/>
            <w:vAlign w:val="center"/>
          </w:tcPr>
          <w:p w14:paraId="77A310E7">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总分</w:t>
            </w:r>
          </w:p>
        </w:tc>
        <w:tc>
          <w:tcPr>
            <w:tcW w:w="39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6728060A">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w:t>
            </w:r>
          </w:p>
        </w:tc>
        <w:tc>
          <w:tcPr>
            <w:tcW w:w="414"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1E677661">
            <w:pPr>
              <w:pStyle w:val="style0"/>
              <w:keepNext w:val="false"/>
              <w:keepLines w:val="false"/>
              <w:widowControl/>
              <w:suppressLineNumbers w:val="false"/>
              <w:jc w:val="center"/>
              <w:textAlignment w:val="center"/>
              <w:rPr>
                <w:rFonts w:ascii="Times New Roman" w:cs="Times New Roman" w:eastAsia="宋体" w:hAnsi="Times New Roman" w:hint="default"/>
                <w:i w:val="false"/>
                <w:iCs w:val="false"/>
                <w:color w:val="000000"/>
                <w:sz w:val="18"/>
                <w:szCs w:val="18"/>
                <w:u w:val="none"/>
              </w:rPr>
            </w:pPr>
            <w:r>
              <w:rPr>
                <w:rFonts w:ascii="Times New Roman" w:cs="Times New Roman" w:eastAsia="宋体" w:hAnsi="Times New Roman" w:hint="default"/>
                <w:i w:val="false"/>
                <w:iCs w:val="false"/>
                <w:color w:val="000000"/>
                <w:kern w:val="0"/>
                <w:sz w:val="18"/>
                <w:szCs w:val="18"/>
                <w:u w:val="none"/>
                <w:lang w:val="en-US" w:eastAsia="zh-CN"/>
              </w:rPr>
              <w:t>100</w:t>
            </w:r>
          </w:p>
        </w:tc>
        <w:tc>
          <w:tcPr>
            <w:tcW w:w="427" w:type="pct"/>
            <w:gridSpan w:val="2"/>
            <w:tcBorders>
              <w:top w:val="single" w:sz="4" w:space="0" w:color="000000"/>
              <w:left w:val="single" w:sz="4" w:space="0" w:color="000000"/>
              <w:bottom w:val="single" w:sz="4" w:space="0" w:color="000000"/>
              <w:right w:val="single" w:sz="4" w:space="0" w:color="000000"/>
            </w:tcBorders>
            <w:shd w:val="clear" w:color="auto" w:fill="auto"/>
            <w:vAlign w:val="center"/>
          </w:tcPr>
          <w:p w14:paraId="405DF9DC">
            <w:pPr>
              <w:pStyle w:val="style0"/>
              <w:jc w:val="center"/>
              <w:rPr>
                <w:rFonts w:ascii="Times New Roman" w:cs="Times New Roman" w:eastAsia="宋体" w:hAnsi="Times New Roman" w:hint="default"/>
                <w:i w:val="false"/>
                <w:iCs w:val="false"/>
                <w:color w:val="000000"/>
                <w:sz w:val="18"/>
                <w:szCs w:val="18"/>
                <w:u w:val="none"/>
              </w:rPr>
            </w:pPr>
          </w:p>
        </w:tc>
      </w:tr>
    </w:tbl>
    <w:p w14:paraId="412EB64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540" w:firstLineChars="200"/>
        <w:textAlignment w:val="auto"/>
        <w:rPr>
          <w:rFonts w:ascii="仿宋_GB2312" w:cs="仿宋_GB2312" w:eastAsia="仿宋_GB2312" w:hAnsi="仿宋_GB2312" w:hint="eastAsia"/>
          <w:b w:val="false"/>
          <w:bCs w:val="false"/>
          <w:kern w:val="0"/>
          <w:sz w:val="32"/>
          <w:szCs w:val="32"/>
          <w:lang w:val="en-US" w:eastAsia="zh-CN"/>
        </w:rPr>
      </w:pPr>
      <w:r>
        <w:rPr>
          <w:rFonts w:ascii="kai_ti_gb2312" w:cs="kai_ti_gb2312" w:eastAsia="kai_ti_gb2312" w:hAnsi="kai_ti_gb2312"/>
          <w:b/>
          <w:bCs/>
          <w:kern w:val="0"/>
          <w:sz w:val="27"/>
          <w:szCs w:val="27"/>
        </w:rPr>
        <w:t> </w:t>
      </w:r>
      <w:r>
        <w:rPr>
          <w:rFonts w:ascii="仿宋_GB2312" w:cs="仿宋_GB2312" w:eastAsia="仿宋_GB2312" w:hAnsi="仿宋_GB2312" w:hint="eastAsia"/>
          <w:b w:val="false"/>
          <w:bCs w:val="false"/>
          <w:kern w:val="0"/>
          <w:sz w:val="32"/>
          <w:szCs w:val="32"/>
          <w:lang w:val="en-US" w:eastAsia="zh-CN"/>
        </w:rPr>
        <w:t xml:space="preserve">  </w:t>
      </w:r>
    </w:p>
    <w:p w14:paraId="6498EA7D">
      <w:pPr>
        <w:pStyle w:val="style62"/>
        <w:rPr>
          <w:rFonts w:hint="eastAsia"/>
          <w:lang w:val="en-US" w:eastAsia="zh-CN"/>
        </w:rPr>
      </w:pPr>
    </w:p>
    <w:p w14:paraId="514C7C1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楷体" w:cs="楷体" w:eastAsia="楷体" w:hAnsi="楷体" w:hint="eastAsia"/>
          <w:b w:val="false"/>
          <w:bCs w:val="false"/>
          <w:kern w:val="0"/>
          <w:sz w:val="32"/>
          <w:szCs w:val="32"/>
          <w:lang w:val="en-US" w:eastAsia="zh-CN"/>
        </w:rPr>
      </w:pPr>
      <w:r>
        <w:rPr>
          <w:rFonts w:ascii="楷体" w:cs="楷体" w:eastAsia="楷体" w:hAnsi="楷体" w:hint="eastAsia"/>
          <w:b w:val="false"/>
          <w:bCs w:val="false"/>
          <w:kern w:val="0"/>
          <w:sz w:val="32"/>
          <w:szCs w:val="32"/>
          <w:lang w:val="en-US" w:eastAsia="zh-CN"/>
        </w:rPr>
        <w:t>（三）单位项目绩效评价结果。</w:t>
      </w:r>
    </w:p>
    <w:p w14:paraId="512EDF7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r>
        <w:rPr>
          <w:rFonts w:ascii="仿宋_GB2312" w:cs="仿宋_GB2312" w:eastAsia="仿宋_GB2312" w:hAnsi="仿宋_GB2312" w:hint="eastAsia"/>
          <w:b w:val="false"/>
          <w:bCs w:val="false"/>
          <w:kern w:val="0"/>
          <w:sz w:val="32"/>
          <w:szCs w:val="32"/>
          <w:lang w:val="en-US" w:eastAsia="zh-CN"/>
        </w:rPr>
        <w:t>本单位2024年未开展重点项目绩效评价。</w:t>
      </w:r>
    </w:p>
    <w:p w14:paraId="190A7CC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eastAsia"/>
          <w:b w:val="false"/>
          <w:bCs w:val="false"/>
          <w:kern w:val="0"/>
          <w:sz w:val="32"/>
          <w:szCs w:val="32"/>
          <w:lang w:val="en-US" w:eastAsia="zh-CN"/>
        </w:rPr>
      </w:pPr>
    </w:p>
    <w:p w14:paraId="57345ED2">
      <w:pPr>
        <w:pStyle w:val="style2"/>
        <w:keepNext w:val="false"/>
        <w:keepLines w:val="false"/>
        <w:pageBreakBefore w:val="false"/>
        <w:widowControl/>
        <w:kinsoku/>
        <w:wordWrap/>
        <w:overflowPunct/>
        <w:topLinePunct w:val="false"/>
        <w:autoSpaceDE/>
        <w:autoSpaceDN/>
        <w:bidi w:val="false"/>
        <w:adjustRightInd/>
        <w:snapToGrid/>
        <w:spacing w:before="299" w:after="299" w:lineRule="atLeast" w:line="600"/>
        <w:jc w:val="center"/>
        <w:textAlignment w:val="auto"/>
        <w:rPr>
          <w:rFonts w:ascii="方正小标宋简体" w:cs="方正小标宋简体" w:eastAsia="方正小标宋简体" w:hAnsi="方正小标宋简体" w:hint="eastAsia"/>
          <w:b/>
          <w:bCs/>
          <w:kern w:val="0"/>
          <w:sz w:val="36"/>
          <w:szCs w:val="36"/>
          <w:lang w:val="en-US" w:bidi="ar-SA" w:eastAsia="zh-CN"/>
        </w:rPr>
      </w:pPr>
      <w:r>
        <w:rPr>
          <w:rFonts w:ascii="方正小标宋简体" w:cs="方正小标宋简体" w:eastAsia="方正小标宋简体" w:hAnsi="方正小标宋简体" w:hint="eastAsia"/>
          <w:b/>
          <w:bCs/>
          <w:kern w:val="0"/>
          <w:sz w:val="36"/>
          <w:szCs w:val="36"/>
          <w:lang w:val="en-US" w:bidi="ar-SA" w:eastAsia="zh-CN"/>
        </w:rPr>
        <w:t>第三部分 名词解释</w:t>
      </w:r>
    </w:p>
    <w:p w14:paraId="6C72FFC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一、财政拨款收入：</w:t>
      </w:r>
      <w:r>
        <w:rPr>
          <w:rFonts w:ascii="仿宋_GB2312" w:cs="仿宋_GB2312" w:eastAsia="仿宋_GB2312" w:hAnsi="仿宋_GB2312" w:hint="default"/>
          <w:b w:val="false"/>
          <w:bCs w:val="false"/>
          <w:kern w:val="0"/>
          <w:sz w:val="32"/>
          <w:szCs w:val="32"/>
          <w:lang w:val="en-US" w:bidi="ar-SA" w:eastAsia="zh-CN"/>
        </w:rPr>
        <w:t>从同级财政部门取得的各类财政拨款，包括一般公共预算财政拨款、政府性基金预算财政拨款、国有资本经营预算财政拨款。</w:t>
      </w:r>
    </w:p>
    <w:p w14:paraId="4FAE5610">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二、上级补助收入：</w:t>
      </w:r>
      <w:r>
        <w:rPr>
          <w:rFonts w:ascii="仿宋_GB2312" w:cs="仿宋_GB2312" w:eastAsia="仿宋_GB2312" w:hAnsi="仿宋_GB2312" w:hint="default"/>
          <w:b w:val="false"/>
          <w:bCs w:val="false"/>
          <w:kern w:val="0"/>
          <w:sz w:val="32"/>
          <w:szCs w:val="32"/>
          <w:lang w:val="en-US" w:bidi="ar-SA" w:eastAsia="zh-CN"/>
        </w:rPr>
        <w:t>指事业单位从主管部门和上级单位取得的非财政补助收入。</w:t>
      </w:r>
    </w:p>
    <w:p w14:paraId="30A28A3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三、财政专户管理教育收费：</w:t>
      </w:r>
      <w:r>
        <w:rPr>
          <w:rFonts w:ascii="仿宋_GB2312" w:cs="仿宋_GB2312" w:eastAsia="仿宋_GB2312" w:hAnsi="仿宋_GB2312" w:hint="default"/>
          <w:b w:val="false"/>
          <w:bCs w:val="false"/>
          <w:kern w:val="0"/>
          <w:sz w:val="32"/>
          <w:szCs w:val="32"/>
          <w:lang w:val="en-US" w:bidi="ar-SA" w:eastAsia="zh-CN"/>
        </w:rPr>
        <w:t>指缴入财政专户、实行专项管理的高中以上学费、住宿费、高校委托培养费、函大、电大、夜大及短训班培训费等教育收费。</w:t>
      </w:r>
    </w:p>
    <w:p w14:paraId="241625D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四、事业收入：</w:t>
      </w:r>
      <w:r>
        <w:rPr>
          <w:rFonts w:ascii="仿宋_GB2312" w:cs="仿宋_GB2312" w:eastAsia="仿宋_GB2312" w:hAnsi="仿宋_GB2312" w:hint="default"/>
          <w:b w:val="false"/>
          <w:bCs w:val="false"/>
          <w:kern w:val="0"/>
          <w:sz w:val="32"/>
          <w:szCs w:val="32"/>
          <w:lang w:val="en-US" w:bidi="ar-SA" w:eastAsia="zh-CN"/>
        </w:rPr>
        <w:t>指事业单位开展专业业务活动及其辅助活动取得的收入。</w:t>
      </w:r>
    </w:p>
    <w:p w14:paraId="32A8FE85">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五、经营收入：</w:t>
      </w:r>
      <w:r>
        <w:rPr>
          <w:rFonts w:ascii="仿宋_GB2312" w:cs="仿宋_GB2312" w:eastAsia="仿宋_GB2312" w:hAnsi="仿宋_GB2312" w:hint="default"/>
          <w:b w:val="false"/>
          <w:bCs w:val="false"/>
          <w:kern w:val="0"/>
          <w:sz w:val="32"/>
          <w:szCs w:val="32"/>
          <w:lang w:val="en-US" w:bidi="ar-SA" w:eastAsia="zh-CN"/>
        </w:rPr>
        <w:t>指事业单位在专业业务活动及其辅助活动之外开展非独立核算经营活动取得的收入。</w:t>
      </w:r>
    </w:p>
    <w:p w14:paraId="132327B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六、附属单位上缴收入：</w:t>
      </w:r>
      <w:r>
        <w:rPr>
          <w:rFonts w:ascii="仿宋_GB2312" w:cs="仿宋_GB2312" w:eastAsia="仿宋_GB2312" w:hAnsi="仿宋_GB2312" w:hint="default"/>
          <w:b w:val="false"/>
          <w:bCs w:val="false"/>
          <w:kern w:val="0"/>
          <w:sz w:val="32"/>
          <w:szCs w:val="32"/>
          <w:lang w:val="en-US" w:bidi="ar-SA" w:eastAsia="zh-CN"/>
        </w:rPr>
        <w:t>指事业单位取得附属独立核算单位按照有关规定上缴的收入。</w:t>
      </w:r>
    </w:p>
    <w:p w14:paraId="6434913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七、其他收入：</w:t>
      </w:r>
      <w:r>
        <w:rPr>
          <w:rFonts w:ascii="仿宋_GB2312" w:cs="仿宋_GB2312" w:eastAsia="仿宋_GB2312" w:hAnsi="仿宋_GB2312" w:hint="default"/>
          <w:b w:val="false"/>
          <w:bCs w:val="false"/>
          <w:kern w:val="0"/>
          <w:sz w:val="32"/>
          <w:szCs w:val="32"/>
          <w:lang w:val="en-US" w:bidi="ar-SA" w:eastAsia="zh-CN"/>
        </w:rPr>
        <w:t>取得的除上述财政拨款收入、上级补助收入、事业收入、经营收入、附属单位上缴收入等以外的各项收入。</w:t>
      </w:r>
    </w:p>
    <w:p w14:paraId="2A2444A1">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八、使用非财政拨款结余（含专用结余）：</w:t>
      </w:r>
      <w:r>
        <w:rPr>
          <w:rFonts w:ascii="仿宋_GB2312" w:cs="仿宋_GB2312" w:eastAsia="仿宋_GB2312" w:hAnsi="仿宋_GB2312" w:hint="default"/>
          <w:b w:val="false"/>
          <w:bCs w:val="false"/>
          <w:kern w:val="0"/>
          <w:sz w:val="32"/>
          <w:szCs w:val="32"/>
          <w:lang w:val="en-US" w:bidi="ar-SA" w:eastAsia="zh-CN"/>
        </w:rPr>
        <w:t>指事业单位按照预算管理要求使用非财政拨款结余弥补收支差额的金额，以及使用专用结余安排支出的金额。</w:t>
      </w:r>
    </w:p>
    <w:p w14:paraId="6B106E72">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九、年初结转和结余：</w:t>
      </w:r>
      <w:r>
        <w:rPr>
          <w:rFonts w:ascii="仿宋_GB2312" w:cs="仿宋_GB2312" w:eastAsia="仿宋_GB2312" w:hAnsi="仿宋_GB2312" w:hint="default"/>
          <w:b w:val="false"/>
          <w:bCs w:val="false"/>
          <w:kern w:val="0"/>
          <w:sz w:val="32"/>
          <w:szCs w:val="32"/>
          <w:lang w:val="en-US" w:bidi="ar-SA" w:eastAsia="zh-CN"/>
        </w:rPr>
        <w:t>指单位上年结转本年使用的基本支出结转、项目支出结转和结余、经营结余。</w:t>
      </w:r>
    </w:p>
    <w:p w14:paraId="711F929B">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十、结余分配：</w:t>
      </w:r>
      <w:r>
        <w:rPr>
          <w:rFonts w:ascii="仿宋_GB2312" w:cs="仿宋_GB2312" w:eastAsia="仿宋_GB2312" w:hAnsi="仿宋_GB2312" w:hint="default"/>
          <w:b w:val="false"/>
          <w:bCs w:val="false"/>
          <w:kern w:val="0"/>
          <w:sz w:val="32"/>
          <w:szCs w:val="32"/>
          <w:lang w:val="en-US" w:bidi="ar-SA" w:eastAsia="zh-CN"/>
        </w:rPr>
        <w:t>指单位按规定缴纳企业所得税以及从非财政拨款结余或经营结余中提取各类结余的情况。</w:t>
      </w:r>
    </w:p>
    <w:p w14:paraId="0CD9D4E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十一、年末结转和结余资金：</w:t>
      </w:r>
      <w:r>
        <w:rPr>
          <w:rFonts w:ascii="仿宋_GB2312" w:cs="仿宋_GB2312" w:eastAsia="仿宋_GB2312" w:hAnsi="仿宋_GB2312" w:hint="default"/>
          <w:b w:val="false"/>
          <w:bCs w:val="false"/>
          <w:kern w:val="0"/>
          <w:sz w:val="32"/>
          <w:szCs w:val="32"/>
          <w:lang w:val="en-US" w:bidi="ar-SA" w:eastAsia="zh-CN"/>
        </w:rPr>
        <w:t>指单位结转下年的基本支出结转、项目支出结转和结余、经营结余。</w:t>
      </w:r>
    </w:p>
    <w:p w14:paraId="2485882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十二、基本支出：</w:t>
      </w:r>
      <w:r>
        <w:rPr>
          <w:rFonts w:ascii="仿宋_GB2312" w:cs="仿宋_GB2312" w:eastAsia="仿宋_GB2312" w:hAnsi="仿宋_GB2312" w:hint="default"/>
          <w:b w:val="false"/>
          <w:bCs w:val="false"/>
          <w:kern w:val="0"/>
          <w:sz w:val="32"/>
          <w:szCs w:val="32"/>
          <w:lang w:val="en-US" w:bidi="ar-SA" w:eastAsia="zh-CN"/>
        </w:rPr>
        <w:t>指为保障机构正常运转、完成日常工作任务所发生的支出，包括人员经费和公用经费。</w:t>
      </w:r>
    </w:p>
    <w:p w14:paraId="0FF7054E">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十三、项目支出：</w:t>
      </w:r>
      <w:r>
        <w:rPr>
          <w:rFonts w:ascii="仿宋_GB2312" w:cs="仿宋_GB2312" w:eastAsia="仿宋_GB2312" w:hAnsi="仿宋_GB2312" w:hint="default"/>
          <w:b w:val="false"/>
          <w:bCs w:val="false"/>
          <w:kern w:val="0"/>
          <w:sz w:val="32"/>
          <w:szCs w:val="32"/>
          <w:lang w:val="en-US" w:bidi="ar-SA" w:eastAsia="zh-CN"/>
        </w:rPr>
        <w:t>指在为完成特定的行政工作任务或事业发展目标所发生的支出。</w:t>
      </w:r>
    </w:p>
    <w:p w14:paraId="2FB0B2E9">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十四、上缴上级支出：</w:t>
      </w:r>
      <w:r>
        <w:rPr>
          <w:rFonts w:ascii="仿宋_GB2312" w:cs="仿宋_GB2312" w:eastAsia="仿宋_GB2312" w:hAnsi="仿宋_GB2312" w:hint="default"/>
          <w:b w:val="false"/>
          <w:bCs w:val="false"/>
          <w:kern w:val="0"/>
          <w:sz w:val="32"/>
          <w:szCs w:val="32"/>
          <w:lang w:val="en-US" w:bidi="ar-SA" w:eastAsia="zh-CN"/>
        </w:rPr>
        <w:t>指事业单位按照财政部门和主管部门的规定上缴上级单位的支出。</w:t>
      </w:r>
    </w:p>
    <w:p w14:paraId="3BB4FC5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十五、经营支出：</w:t>
      </w:r>
      <w:r>
        <w:rPr>
          <w:rFonts w:ascii="仿宋_GB2312" w:cs="仿宋_GB2312" w:eastAsia="仿宋_GB2312" w:hAnsi="仿宋_GB2312" w:hint="default"/>
          <w:b w:val="false"/>
          <w:bCs w:val="false"/>
          <w:kern w:val="0"/>
          <w:sz w:val="32"/>
          <w:szCs w:val="32"/>
          <w:lang w:val="en-US" w:bidi="ar-SA" w:eastAsia="zh-CN"/>
        </w:rPr>
        <w:t>指事业单位在专业业务活动及其辅助活动之外开展非独立核算经营活动发生的支出。</w:t>
      </w:r>
    </w:p>
    <w:p w14:paraId="0DAE87C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十六、对附属单位补助支出：</w:t>
      </w:r>
      <w:r>
        <w:rPr>
          <w:rFonts w:ascii="仿宋_GB2312" w:cs="仿宋_GB2312" w:eastAsia="仿宋_GB2312" w:hAnsi="仿宋_GB2312" w:hint="default"/>
          <w:b w:val="false"/>
          <w:bCs w:val="false"/>
          <w:kern w:val="0"/>
          <w:sz w:val="32"/>
          <w:szCs w:val="32"/>
          <w:lang w:val="en-US" w:bidi="ar-SA" w:eastAsia="zh-CN"/>
        </w:rPr>
        <w:t>指事业单位用财政拨款收入之外的收入对附属单位补助发生的支出。</w:t>
      </w:r>
    </w:p>
    <w:p w14:paraId="529172D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十七、“三公”经费：</w:t>
      </w:r>
      <w:r>
        <w:rPr>
          <w:rFonts w:ascii="仿宋_GB2312" w:cs="仿宋_GB2312" w:eastAsia="仿宋_GB2312" w:hAnsi="仿宋_GB2312" w:hint="default"/>
          <w:b w:val="false"/>
          <w:bCs w:val="false"/>
          <w:kern w:val="0"/>
          <w:sz w:val="32"/>
          <w:szCs w:val="32"/>
          <w:lang w:val="en-US" w:bidi="ar-SA" w:eastAsia="zh-CN"/>
        </w:rPr>
        <w:t>指部门（单位）用财政拨款安排的因公出国（境）费、公务用车购置及运行维护费和公务接待费。其中，因公出国（境）费反映部门（单位）)公务出国（境）的国际旅费、国外城市间交通费、住宿费、伙食费、培训费、公杂费等支出；公务用车购置及运行维护费反映部门（单位）公务用车购置支出（含车辆购置税、牌照费）以及按规定保留的公务用车燃料费、维修费、过路过桥费、保险费、安全奖励费用等支出；公务接待费反映部门（单位）按规定开支的各类公务接待（含外宾接待）费用。</w:t>
      </w:r>
    </w:p>
    <w:p w14:paraId="2A60E9E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bCs/>
          <w:kern w:val="0"/>
          <w:sz w:val="32"/>
          <w:szCs w:val="32"/>
          <w:lang w:val="en-US" w:bidi="ar-SA" w:eastAsia="zh-CN"/>
        </w:rPr>
        <w:t>十八、机关运行经费：</w:t>
      </w:r>
      <w:r>
        <w:rPr>
          <w:rFonts w:ascii="仿宋_GB2312" w:cs="仿宋_GB2312" w:eastAsia="仿宋_GB2312" w:hAnsi="仿宋_GB2312" w:hint="default"/>
          <w:b w:val="false"/>
          <w:bCs w:val="false"/>
          <w:kern w:val="0"/>
          <w:sz w:val="32"/>
          <w:szCs w:val="32"/>
          <w:lang w:val="en-US" w:bidi="ar-SA" w:eastAsia="zh-CN"/>
        </w:rPr>
        <w:t>指行政单位和参照公务员法管理的事业单位财政拨款基本支出中的公用经费支出，包括办公及印刷费、邮电费、差旅费、会议费、福利费、日常维修费、专用材料及一般设备购置费、办公用房水电费、办公用房取暖费、办公用房物业管理费、公务用车运行维护费及其他费用等。</w:t>
      </w:r>
    </w:p>
    <w:p w14:paraId="1E7F800C">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bCs/>
          <w:kern w:val="0"/>
          <w:sz w:val="32"/>
          <w:szCs w:val="32"/>
          <w:lang w:eastAsia="zh-CN"/>
        </w:rPr>
      </w:pPr>
    </w:p>
    <w:p w14:paraId="3E5641B4">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720" w:firstLineChars="200"/>
        <w:textAlignment w:val="auto"/>
        <w:rPr>
          <w:rFonts w:ascii="方正小标宋简体" w:cs="方正小标宋简体" w:eastAsia="方正小标宋简体" w:hAnsi="方正小标宋简体" w:hint="eastAsia"/>
          <w:b w:val="false"/>
          <w:bCs w:val="false"/>
          <w:kern w:val="0"/>
          <w:sz w:val="36"/>
          <w:szCs w:val="36"/>
          <w:lang w:val="en-US" w:bidi="ar-SA" w:eastAsia="zh-CN"/>
        </w:rPr>
      </w:pPr>
      <w:r>
        <w:rPr>
          <w:rFonts w:ascii="方正小标宋简体" w:cs="方正小标宋简体" w:eastAsia="方正小标宋简体" w:hAnsi="方正小标宋简体" w:hint="eastAsia"/>
          <w:b w:val="false"/>
          <w:bCs w:val="false"/>
          <w:kern w:val="0"/>
          <w:sz w:val="36"/>
          <w:szCs w:val="36"/>
          <w:lang w:val="en-US" w:bidi="ar-SA" w:eastAsia="zh-CN"/>
        </w:rPr>
        <w:t>第四部分 决算公开联系方式及信息反馈渠道</w:t>
      </w:r>
    </w:p>
    <w:p w14:paraId="45BEF56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val="false"/>
          <w:bCs w:val="false"/>
          <w:kern w:val="0"/>
          <w:sz w:val="32"/>
          <w:szCs w:val="32"/>
          <w:lang w:val="en-US" w:bidi="ar-SA" w:eastAsia="zh-CN"/>
        </w:rPr>
        <w:t>本部门（单位）决算公开信息反馈和联系方式：</w:t>
      </w:r>
    </w:p>
    <w:p w14:paraId="5BEF9028">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val="false"/>
          <w:bCs w:val="false"/>
          <w:kern w:val="0"/>
          <w:sz w:val="32"/>
          <w:szCs w:val="32"/>
          <w:lang w:val="en-US" w:bidi="ar-SA" w:eastAsia="zh-CN"/>
        </w:rPr>
        <w:t>联系人：</w:t>
      </w:r>
      <w:r>
        <w:rPr>
          <w:rFonts w:ascii="仿宋_GB2312" w:cs="仿宋_GB2312" w:eastAsia="仿宋_GB2312" w:hAnsi="仿宋_GB2312" w:hint="eastAsia"/>
          <w:b w:val="false"/>
          <w:bCs w:val="false"/>
          <w:kern w:val="0"/>
          <w:sz w:val="32"/>
          <w:szCs w:val="32"/>
          <w:lang w:val="en-US" w:bidi="ar-SA" w:eastAsia="zh-CN"/>
        </w:rPr>
        <w:t>曹丹</w:t>
      </w:r>
      <w:r>
        <w:rPr>
          <w:rFonts w:ascii="仿宋_GB2312" w:cs="仿宋_GB2312" w:eastAsia="仿宋_GB2312" w:hAnsi="仿宋_GB2312" w:hint="default"/>
          <w:b w:val="false"/>
          <w:bCs w:val="false"/>
          <w:kern w:val="0"/>
          <w:sz w:val="32"/>
          <w:szCs w:val="32"/>
          <w:lang w:val="en-US" w:bidi="ar-SA" w:eastAsia="zh-CN"/>
        </w:rPr>
        <w:t>           联系电话：0473-3998654</w:t>
      </w:r>
    </w:p>
    <w:p w14:paraId="4B673F1F">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val="en-US" w:bidi="ar-SA" w:eastAsia="zh-CN"/>
        </w:rPr>
      </w:pPr>
    </w:p>
    <w:p w14:paraId="2C372ECA">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720" w:firstLineChars="200"/>
        <w:textAlignment w:val="auto"/>
        <w:rPr>
          <w:rFonts w:ascii="方正小标宋简体" w:cs="方正小标宋简体" w:eastAsia="方正小标宋简体" w:hAnsi="方正小标宋简体" w:hint="eastAsia"/>
          <w:b w:val="false"/>
          <w:bCs w:val="false"/>
          <w:kern w:val="0"/>
          <w:sz w:val="36"/>
          <w:szCs w:val="36"/>
          <w:lang w:val="en-US" w:bidi="ar-SA" w:eastAsia="zh-CN"/>
        </w:rPr>
      </w:pPr>
      <w:r>
        <w:rPr>
          <w:rFonts w:ascii="方正小标宋简体" w:cs="方正小标宋简体" w:eastAsia="方正小标宋简体" w:hAnsi="方正小标宋简体" w:hint="eastAsia"/>
          <w:b w:val="false"/>
          <w:bCs w:val="false"/>
          <w:kern w:val="0"/>
          <w:sz w:val="36"/>
          <w:szCs w:val="36"/>
          <w:lang w:val="en-US" w:bidi="ar-SA" w:eastAsia="zh-CN"/>
        </w:rPr>
        <w:t>第五部分 单位决算表</w:t>
      </w:r>
    </w:p>
    <w:p w14:paraId="6CDF3AE6">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0" w:firstLineChars="200"/>
        <w:textAlignment w:val="auto"/>
        <w:rPr>
          <w:rFonts w:ascii="仿宋_GB2312" w:cs="仿宋_GB2312" w:eastAsia="仿宋_GB2312" w:hAnsi="仿宋_GB2312" w:hint="default"/>
          <w:b w:val="false"/>
          <w:bCs w:val="false"/>
          <w:kern w:val="0"/>
          <w:sz w:val="32"/>
          <w:szCs w:val="32"/>
          <w:lang w:val="en-US" w:bidi="ar-SA" w:eastAsia="zh-CN"/>
        </w:rPr>
      </w:pPr>
      <w:r>
        <w:rPr>
          <w:rFonts w:ascii="仿宋_GB2312" w:cs="仿宋_GB2312" w:eastAsia="仿宋_GB2312" w:hAnsi="仿宋_GB2312" w:hint="default"/>
          <w:b w:val="false"/>
          <w:bCs w:val="false"/>
          <w:kern w:val="0"/>
          <w:sz w:val="32"/>
          <w:szCs w:val="32"/>
          <w:lang w:val="en-US" w:bidi="ar-SA" w:eastAsia="zh-CN"/>
        </w:rPr>
        <w:t>见附件。</w:t>
      </w:r>
    </w:p>
    <w:p w14:paraId="41138C7D">
      <w:pPr>
        <w:pStyle w:val="style0"/>
        <w:keepNext w:val="false"/>
        <w:keepLines w:val="false"/>
        <w:pageBreakBefore w:val="false"/>
        <w:widowControl/>
        <w:kinsoku/>
        <w:wordWrap/>
        <w:overflowPunct/>
        <w:topLinePunct w:val="false"/>
        <w:autoSpaceDE/>
        <w:autoSpaceDN/>
        <w:bidi w:val="false"/>
        <w:adjustRightInd/>
        <w:snapToGrid/>
        <w:spacing w:lineRule="exact" w:line="600"/>
        <w:ind w:firstLine="643" w:firstLineChars="200"/>
        <w:textAlignment w:val="auto"/>
        <w:rPr>
          <w:rFonts w:ascii="仿宋_GB2312" w:cs="仿宋_GB2312" w:eastAsia="仿宋_GB2312" w:hAnsi="仿宋_GB2312" w:hint="default"/>
          <w:b/>
          <w:bCs/>
          <w:kern w:val="0"/>
          <w:sz w:val="32"/>
          <w:szCs w:val="32"/>
          <w:lang w:eastAsia="zh-CN"/>
        </w:rPr>
      </w:pPr>
    </w:p>
    <w:p w14:paraId="5DE4D3FC">
      <w:pPr>
        <w:pStyle w:val="style0"/>
        <w:keepNext w:val="false"/>
        <w:keepLines w:val="false"/>
        <w:pageBreakBefore w:val="false"/>
        <w:widowControl/>
        <w:kinsoku/>
        <w:wordWrap/>
        <w:overflowPunct/>
        <w:topLinePunct w:val="false"/>
        <w:autoSpaceDE/>
        <w:autoSpaceDN/>
        <w:bidi w:val="false"/>
        <w:adjustRightInd/>
        <w:snapToGrid/>
        <w:spacing w:before="240" w:after="240" w:lineRule="atLeast" w:line="600"/>
        <w:jc w:val="left"/>
        <w:textAlignment w:val="auto"/>
        <w:rPr>
          <w:rFonts w:ascii="Times New Roman" w:cs="Times New Roman" w:eastAsia="Times New Roman" w:hAnsi="Times New Roman"/>
          <w:kern w:val="0"/>
          <w:sz w:val="24"/>
        </w:rPr>
      </w:pPr>
    </w:p>
    <w:bookmarkEnd w:id="0"/>
    <w:p w14:paraId="273D5085">
      <w:pPr>
        <w:pStyle w:val="style0"/>
        <w:keepNext w:val="false"/>
        <w:keepLines w:val="false"/>
        <w:pageBreakBefore w:val="false"/>
        <w:tabs>
          <w:tab w:val="left" w:leader="none" w:pos="8415"/>
        </w:tabs>
        <w:kinsoku/>
        <w:wordWrap/>
        <w:overflowPunct/>
        <w:topLinePunct w:val="false"/>
        <w:autoSpaceDE/>
        <w:autoSpaceDN/>
        <w:bidi w:val="false"/>
        <w:adjustRightInd/>
        <w:snapToGrid/>
        <w:spacing w:lineRule="atLeast" w:line="600"/>
        <w:textAlignment w:val="auto"/>
        <w:rPr/>
      </w:pPr>
    </w:p>
    <w:sectPr>
      <w:footerReference w:type="default" r:id="rId5"/>
      <w:pgSz w:w="11906" w:h="16838" w:orient="portrait"/>
      <w:pgMar w:top="1440" w:right="1803" w:bottom="1440" w:left="1803" w:header="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0020304"/>
    <w:charset w:val="cc"/>
    <w:family w:val="roman"/>
    <w:pitch w:val="default"/>
    <w:sig w:usb0="E0002AFF" w:usb1="C0007841" w:usb2="00000009" w:usb3="00000000" w:csb0="400001FF" w:csb1="FFFF0000"/>
  </w:font>
  <w:font w:name="宋体">
    <w:altName w:val="宋体"/>
    <w:panose1 w:val="02010600030000010101"/>
    <w:charset w:val="50"/>
    <w:family w:val="auto"/>
    <w:pitch w:val="default"/>
    <w:sig w:usb0="000000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0020204"/>
    <w:charset w:val="01"/>
    <w:family w:val="swiss"/>
    <w:pitch w:val="default"/>
    <w:sig w:usb0="E0002AFF" w:usb1="C0007843" w:usb2="00000009" w:usb3="00000000" w:csb0="400001FF" w:csb1="FFFF0000"/>
  </w:font>
  <w:font w:name="黑体">
    <w:altName w:val="黑体"/>
    <w:panose1 w:val="02010609060000010101"/>
    <w:charset w:val="86"/>
    <w:family w:val="auto"/>
    <w:pitch w:val="default"/>
    <w:sig w:usb0="800002BF" w:usb1="38CF7CFA" w:usb2="00000016" w:usb3="00000000" w:csb0="00040001" w:csb1="00000000"/>
  </w:font>
  <w:font w:name="Courier New">
    <w:altName w:val="Courier New"/>
    <w:panose1 w:val="02070309020000020404"/>
    <w:charset w:val="01"/>
    <w:family w:val="modern"/>
    <w:pitch w:val="default"/>
    <w:sig w:usb0="E0002AFF" w:usb1="C0007843" w:usb2="00000009" w:usb3="00000000" w:csb0="400001FF" w:csb1="FFFF0000"/>
  </w:font>
  <w:font w:name="Symbol">
    <w:altName w:val="Symbol"/>
    <w:panose1 w:val="05050102010000020507"/>
    <w:charset w:val="02"/>
    <w:family w:val="roman"/>
    <w:pitch w:val="default"/>
    <w:sig w:usb0="00000000" w:usb1="00000000" w:usb2="00000000" w:usb3="00000000" w:csb0="80000000" w:csb1="00000000"/>
  </w:font>
  <w:font w:name="Calibri">
    <w:altName w:val="Calibri"/>
    <w:panose1 w:val="020f0502020000030204"/>
    <w:charset w:val="00"/>
    <w:family w:val="swiss"/>
    <w:pitch w:val="default"/>
    <w:sig w:usb0="E00002FF" w:usb1="4000ACFF" w:usb2="00000001" w:usb3="00000000" w:csb0="2000019F" w:csb1="00000000"/>
  </w:font>
  <w:font w:name="Cambria">
    <w:altName w:val="Cambria"/>
    <w:panose1 w:val="02040503050000030204"/>
    <w:charset w:val="00"/>
    <w:family w:val="roman"/>
    <w:pitch w:val="default"/>
    <w:sig w:usb0="E00002FF" w:usb1="400004FF" w:usb2="00000000" w:usb3="00000000" w:csb0="2000019F" w:csb1="00000000"/>
  </w:font>
  <w:font w:name="仿宋_GB2312">
    <w:altName w:val="仿宋_GB2312"/>
    <w:panose1 w:val="02010609030000010101"/>
    <w:charset w:val="86"/>
    <w:family w:val="modern"/>
    <w:pitch w:val="default"/>
    <w:sig w:usb0="00000001" w:usb1="080E0000" w:usb2="00000000" w:usb3="00000000" w:csb0="00040000" w:csb1="00000000"/>
  </w:font>
  <w:font w:name="仿宋">
    <w:altName w:val="仿宋"/>
    <w:panose1 w:val="02010609060000010101"/>
    <w:charset w:val="86"/>
    <w:family w:val="modern"/>
    <w:pitch w:val="default"/>
    <w:sig w:usb0="800002BF" w:usb1="38CF7CFA" w:usb2="00000016" w:usb3="00000000" w:csb0="00040001" w:csb1="00000000"/>
  </w:font>
  <w:font w:name="方正小标宋简体">
    <w:altName w:val="方正小标宋简体"/>
    <w:panose1 w:val="03000509000000000000"/>
    <w:charset w:val="86"/>
    <w:family w:val="auto"/>
    <w:pitch w:val="default"/>
    <w:sig w:usb0="00000001" w:usb1="080E0000" w:usb2="00000000" w:usb3="00000000" w:csb0="00040000" w:csb1="00000000"/>
  </w:font>
  <w:font w:name="楷体">
    <w:altName w:val="楷体"/>
    <w:panose1 w:val="02010609060000010101"/>
    <w:charset w:val="86"/>
    <w:family w:val="auto"/>
    <w:pitch w:val="default"/>
    <w:sig w:usb0="800002BF" w:usb1="38CF7CFA" w:usb2="00000016" w:usb3="00000000" w:csb0="00040001" w:csb1="00000000"/>
  </w:font>
  <w:font w:name="times_new_roman">
    <w:altName w:val="Segoe Print"/>
    <w:panose1 w:val="00000000000000000000"/>
    <w:charset w:val="00"/>
    <w:family w:val="auto"/>
    <w:pitch w:val="default"/>
    <w:sig w:usb0="00000000" w:usb1="00000000" w:usb2="00000000" w:usb3="00000000" w:csb0="00000000" w:csb1="00000000"/>
  </w:font>
  <w:font w:name="Segoe Print">
    <w:altName w:val="Segoe Print"/>
    <w:panose1 w:val="02000600000000000000"/>
    <w:charset w:val="00"/>
    <w:family w:val="auto"/>
    <w:pitch w:val="default"/>
    <w:sig w:usb0="0000028F" w:usb1="00000000" w:usb2="00000000" w:usb3="00000000" w:csb0="2000009F" w:csb1="47010000"/>
  </w:font>
  <w:font w:name="kai_ti_gb2312">
    <w:altName w:val="Segoe Print"/>
    <w:panose1 w:val="00000000000000000000"/>
    <w:charset w:val="00"/>
    <w:family w:val="auto"/>
    <w:pitch w:val="default"/>
    <w:sig w:usb0="00000000" w:usb1="00000000" w:usb2="00000000" w:usb3="00000000" w:csb0="00000000" w:csb1="00000000"/>
  </w:font>
  <w:font w:name="微软雅黑">
    <w:altName w:val="微软雅黑"/>
    <w:panose1 w:val="020b0503020000020204"/>
    <w:charset w:val="86"/>
    <w:family w:val="auto"/>
    <w:pitch w:val="default"/>
    <w:sig w:usb0="80000287" w:usb1="280F3C52" w:usb2="00000016" w:usb3="00000000" w:csb0="0004001F" w:csb1="00000000"/>
  </w:font>
  <w:font w:name="Tahoma">
    <w:altName w:val="Tahoma"/>
    <w:panose1 w:val="020b0604030000040204"/>
    <w:charset w:val="00"/>
    <w:family w:val="auto"/>
    <w:pitch w:val="default"/>
    <w:sig w:usb0="E1002EFF" w:usb1="C000605B" w:usb2="00000029" w:usb3="00000000" w:csb0="200101FF" w:csb1="20280000"/>
  </w:font>
</w:fonts>
</file>

<file path=word/footer1.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59CD5258">
    <w:pPr>
      <w:pStyle w:val="style0"/>
      <w:jc w:val="center"/>
      <w:rPr/>
    </w:pPr>
    <w:r>
      <w:rPr>
        <w:rFonts w:ascii="宋体" w:cs="宋体" w:eastAsia="宋体" w:hAnsi="宋体"/>
        <w:sz w:val="18"/>
      </w:rPr>
      <w:fldChar w:fldCharType="begin"/>
    </w:r>
    <w:r>
      <w:rPr>
        <w:rFonts w:ascii="宋体" w:cs="宋体" w:eastAsia="宋体" w:hAnsi="宋体"/>
        <w:sz w:val="18"/>
      </w:rPr>
      <w:instrText xml:space="preserve"> PAGE </w:instrText>
    </w:r>
    <w:r>
      <w:rPr>
        <w:rFonts w:ascii="宋体" w:cs="宋体" w:eastAsia="宋体" w:hAnsi="宋体"/>
        <w:sz w:val="18"/>
      </w:rPr>
      <w:fldChar w:fldCharType="separate"/>
    </w:r>
    <w:r>
      <w:rPr>
        <w:rFonts w:ascii="宋体" w:cs="宋体" w:eastAsia="宋体" w:hAnsi="宋体"/>
        <w:sz w:val="18"/>
      </w:rPr>
      <w:t>1</w:t>
    </w:r>
    <w:r>
      <w:rPr>
        <w:rFonts w:ascii="宋体" w:cs="宋体" w:eastAsia="宋体" w:hAnsi="宋体"/>
        <w:sz w:val="18"/>
      </w:rPr>
      <w:fldChar w:fldCharType="end"/>
    </w:r>
  </w:p>
</w:ftr>
</file>

<file path=word/footer2.xml><?xml version="1.0" encoding="utf-8"?>
<w:ftr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p w14:paraId="60E72075">
    <w:pPr>
      <w:pStyle w:val="style32"/>
      <w:jc w:val="center"/>
      <w:rPr/>
    </w:pPr>
    <w:r>
      <w:rPr/>
      <w:fldChar w:fldCharType="begin"/>
    </w:r>
    <w:r>
      <w:instrText xml:space="preserve"> PAGE   \* MERGEFORMAT </w:instrText>
    </w:r>
    <w:r>
      <w:rPr/>
      <w:fldChar w:fldCharType="separate"/>
    </w:r>
    <w:r>
      <w:rPr>
        <w:lang w:val="zh-CN"/>
      </w:rPr>
      <w:t>25</w:t>
    </w:r>
    <w:r>
      <w:rPr>
        <w:lang w:val="zh-CN"/>
      </w:rPr>
      <w:fldChar w:fldCharType="end"/>
    </w:r>
  </w:p>
  <w:p w14:paraId="6EFC3F10">
    <w:pPr>
      <w:pStyle w:val="style32"/>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37"/>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Times New Roman" w:cs="Times New Roman" w:eastAsia="宋体" w:hAnsi="Times New Roman"/>
      </w:rPr>
    </w:rPrDefault>
    <w:pPrDefault>
      <w:pPr/>
    </w:pPrDefault>
  </w:docDefaults>
  <w:style w:type="paragraph" w:default="1" w:styleId="style0">
    <w:name w:val="Normal"/>
    <w:next w:val="style62"/>
    <w:qFormat/>
    <w:uiPriority w:val="0"/>
    <w:pPr>
      <w:widowControl w:val="false"/>
      <w:jc w:val="both"/>
    </w:pPr>
    <w:rPr>
      <w:rFonts w:ascii="Times New Roman" w:cs="Times New Roman" w:eastAsia="宋体" w:hAnsi="Times New Roman"/>
      <w:kern w:val="2"/>
      <w:sz w:val="21"/>
      <w:szCs w:val="24"/>
      <w:lang w:val="en-US" w:bidi="ar-SA" w:eastAsia="zh-CN"/>
    </w:rPr>
  </w:style>
  <w:style w:type="paragraph" w:styleId="style1">
    <w:name w:val="heading 1"/>
    <w:basedOn w:val="style0"/>
    <w:next w:val="style0"/>
    <w:qFormat/>
    <w:uiPriority w:val="0"/>
    <w:pPr>
      <w:keepNext/>
      <w:keepLines/>
      <w:spacing w:before="340" w:after="330" w:lineRule="auto" w:line="578"/>
      <w:outlineLvl w:val="0"/>
    </w:pPr>
    <w:rPr>
      <w:b/>
      <w:bCs/>
      <w:kern w:val="44"/>
      <w:sz w:val="44"/>
      <w:szCs w:val="44"/>
    </w:rPr>
  </w:style>
  <w:style w:type="paragraph" w:styleId="style2">
    <w:name w:val="heading 2"/>
    <w:basedOn w:val="style0"/>
    <w:next w:val="style0"/>
    <w:qFormat/>
    <w:uiPriority w:val="0"/>
    <w:pPr>
      <w:keepNext/>
      <w:keepLines/>
      <w:spacing w:before="260" w:after="260" w:lineRule="auto" w:line="416"/>
      <w:outlineLvl w:val="1"/>
    </w:pPr>
    <w:rPr>
      <w:rFonts w:ascii="Arial" w:eastAsia="黑体" w:hAnsi="Arial"/>
      <w:b/>
      <w:bCs/>
      <w:sz w:val="32"/>
      <w:szCs w:val="32"/>
    </w:rPr>
  </w:style>
  <w:style w:type="paragraph" w:styleId="style3">
    <w:name w:val="heading 3"/>
    <w:basedOn w:val="style0"/>
    <w:next w:val="style0"/>
    <w:link w:val="style4102"/>
    <w:qFormat/>
    <w:uiPriority w:val="0"/>
    <w:pPr>
      <w:keepNext/>
      <w:keepLines/>
      <w:spacing w:before="260" w:after="260" w:lineRule="auto" w:line="416"/>
      <w:outlineLvl w:val="2"/>
    </w:pPr>
    <w:rPr>
      <w:b/>
      <w:bCs/>
      <w:sz w:val="32"/>
      <w:szCs w:val="32"/>
    </w:rPr>
  </w:style>
  <w:style w:type="paragraph" w:styleId="style4">
    <w:name w:val="heading 4"/>
    <w:basedOn w:val="style0"/>
    <w:next w:val="style0"/>
    <w:link w:val="style4099"/>
    <w:qFormat/>
    <w:uiPriority w:val="0"/>
    <w:pPr>
      <w:keepNext/>
      <w:keepLines/>
      <w:spacing w:before="280" w:after="290" w:lineRule="auto" w:line="376"/>
      <w:outlineLvl w:val="3"/>
    </w:pPr>
    <w:rPr>
      <w:rFonts w:ascii="Cambria" w:hAnsi="Cambria"/>
      <w:b/>
      <w:bCs/>
      <w:sz w:val="28"/>
      <w:szCs w:val="28"/>
    </w:rPr>
  </w:style>
  <w:style w:type="character" w:default="1" w:styleId="style65">
    <w:name w:val="Default Paragraph Font"/>
    <w:next w:val="style65"/>
    <w:qFormat/>
    <w:uiPriority w:val="1"/>
  </w:style>
  <w:style w:type="table" w:default="1" w:styleId="style105">
    <w:name w:val="Normal Table"/>
    <w:next w:val="style105"/>
    <w:qFormat/>
    <w:uiPriority w:val="99"/>
    <w:pPr/>
    <w:rPr/>
    <w:tblPr>
      <w:tblCellMar>
        <w:top w:w="0" w:type="dxa"/>
        <w:left w:w="108" w:type="dxa"/>
        <w:bottom w:w="0" w:type="dxa"/>
        <w:right w:w="108" w:type="dxa"/>
      </w:tblCellMar>
    </w:tblPr>
    <w:tcPr>
      <w:tcBorders/>
    </w:tcPr>
  </w:style>
  <w:style w:type="paragraph" w:styleId="style62">
    <w:name w:val="Title"/>
    <w:basedOn w:val="style4097"/>
    <w:next w:val="style67"/>
    <w:qFormat/>
    <w:uiPriority w:val="0"/>
    <w:pPr>
      <w:spacing w:before="0" w:beforeAutospacing="false" w:after="0" w:afterAutospacing="false"/>
      <w:ind w:left="30"/>
      <w:outlineLvl w:val="0"/>
    </w:pPr>
    <w:rPr>
      <w:rFonts w:ascii="Arial" w:eastAsia="仿宋_GB2312" w:hAnsi="Arial" w:hint="default"/>
      <w:b/>
      <w:sz w:val="32"/>
      <w:szCs w:val="32"/>
    </w:rPr>
  </w:style>
  <w:style w:type="paragraph" w:customStyle="1" w:styleId="style4097">
    <w:name w:val="msonormal"/>
    <w:basedOn w:val="style0"/>
    <w:next w:val="style4097"/>
    <w:qFormat/>
    <w:uiPriority w:val="0"/>
    <w:pPr>
      <w:widowControl/>
      <w:spacing w:before="100" w:beforeAutospacing="true" w:after="100" w:afterAutospacing="true"/>
    </w:pPr>
    <w:rPr>
      <w:rFonts w:ascii="宋体" w:cs="宋体" w:eastAsia="宋体" w:hAnsi="宋体" w:hint="eastAsia"/>
      <w:sz w:val="24"/>
      <w:szCs w:val="24"/>
      <w:lang w:val="en-US" w:eastAsia="zh-CN"/>
    </w:rPr>
  </w:style>
  <w:style w:type="paragraph" w:styleId="style67">
    <w:name w:val="Body Text Indent"/>
    <w:basedOn w:val="style4097"/>
    <w:next w:val="style4098"/>
    <w:qFormat/>
    <w:uiPriority w:val="0"/>
    <w:pPr>
      <w:spacing w:before="0" w:beforeAutospacing="false" w:after="0" w:afterAutospacing="false"/>
      <w:ind w:left="30"/>
    </w:pPr>
    <w:rPr>
      <w:rFonts w:hint="eastAsia"/>
      <w:sz w:val="24"/>
      <w:szCs w:val="24"/>
    </w:rPr>
  </w:style>
  <w:style w:type="paragraph" w:customStyle="1" w:styleId="style4098">
    <w:name w:val="目录 2 Char"/>
    <w:basedOn w:val="style4097"/>
    <w:next w:val="style0"/>
    <w:qFormat/>
    <w:uiPriority w:val="0"/>
    <w:pPr>
      <w:spacing w:beforeAutospacing="false" w:after="0" w:afterAutospacing="false"/>
      <w:ind w:left="420"/>
      <w:jc w:val="center"/>
    </w:pPr>
    <w:rPr>
      <w:rFonts w:ascii="黑体" w:eastAsia="黑体" w:hint="eastAsia"/>
      <w:sz w:val="32"/>
      <w:szCs w:val="32"/>
    </w:rPr>
  </w:style>
  <w:style w:type="paragraph" w:styleId="style25">
    <w:name w:val="toc 7"/>
    <w:basedOn w:val="style0"/>
    <w:next w:val="style0"/>
    <w:qFormat/>
    <w:uiPriority w:val="0"/>
    <w:pPr>
      <w:ind w:left="1260"/>
      <w:jc w:val="left"/>
    </w:pPr>
    <w:rPr>
      <w:sz w:val="20"/>
      <w:szCs w:val="20"/>
    </w:rPr>
  </w:style>
  <w:style w:type="paragraph" w:styleId="style89">
    <w:name w:val="Document Map"/>
    <w:basedOn w:val="style0"/>
    <w:next w:val="style89"/>
    <w:qFormat/>
    <w:uiPriority w:val="0"/>
    <w:pPr>
      <w:shd w:val="clear" w:color="auto" w:fill="000080"/>
    </w:pPr>
    <w:rPr/>
  </w:style>
  <w:style w:type="paragraph" w:styleId="style23">
    <w:name w:val="toc 5"/>
    <w:basedOn w:val="style0"/>
    <w:next w:val="style0"/>
    <w:qFormat/>
    <w:uiPriority w:val="0"/>
    <w:pPr>
      <w:ind w:left="840"/>
      <w:jc w:val="left"/>
    </w:pPr>
    <w:rPr>
      <w:sz w:val="20"/>
      <w:szCs w:val="20"/>
    </w:rPr>
  </w:style>
  <w:style w:type="paragraph" w:styleId="style21">
    <w:name w:val="toc 3"/>
    <w:basedOn w:val="style0"/>
    <w:next w:val="style0"/>
    <w:qFormat/>
    <w:uiPriority w:val="0"/>
    <w:pPr>
      <w:adjustRightInd w:val="false"/>
      <w:snapToGrid w:val="false"/>
      <w:spacing w:lineRule="auto" w:line="360"/>
      <w:ind w:firstLine="400" w:firstLineChars="400"/>
      <w:jc w:val="left"/>
    </w:pPr>
    <w:rPr>
      <w:sz w:val="24"/>
      <w:szCs w:val="20"/>
    </w:rPr>
  </w:style>
  <w:style w:type="paragraph" w:styleId="style26">
    <w:name w:val="toc 8"/>
    <w:basedOn w:val="style0"/>
    <w:next w:val="style0"/>
    <w:qFormat/>
    <w:uiPriority w:val="0"/>
    <w:pPr>
      <w:ind w:left="1470"/>
      <w:jc w:val="left"/>
    </w:pPr>
    <w:rPr>
      <w:sz w:val="20"/>
      <w:szCs w:val="20"/>
    </w:rPr>
  </w:style>
  <w:style w:type="paragraph" w:styleId="style32">
    <w:name w:val="footer"/>
    <w:basedOn w:val="style0"/>
    <w:next w:val="style32"/>
    <w:link w:val="style4101"/>
    <w:qFormat/>
    <w:uiPriority w:val="0"/>
    <w:pPr>
      <w:tabs>
        <w:tab w:val="center" w:leader="none" w:pos="4153"/>
        <w:tab w:val="right" w:leader="none" w:pos="8306"/>
      </w:tabs>
      <w:snapToGrid w:val="false"/>
      <w:jc w:val="left"/>
    </w:pPr>
    <w:rPr>
      <w:sz w:val="18"/>
      <w:szCs w:val="18"/>
    </w:rPr>
  </w:style>
  <w:style w:type="paragraph" w:styleId="style31">
    <w:name w:val="header"/>
    <w:basedOn w:val="style0"/>
    <w:next w:val="style31"/>
    <w:qFormat/>
    <w:uiPriority w:val="0"/>
    <w:pPr>
      <w:pBdr>
        <w:bottom w:val="single" w:sz="6" w:space="1" w:color="auto"/>
      </w:pBdr>
      <w:tabs>
        <w:tab w:val="center" w:leader="none" w:pos="4153"/>
        <w:tab w:val="right" w:leader="none" w:pos="8306"/>
      </w:tabs>
      <w:snapToGrid w:val="false"/>
      <w:jc w:val="center"/>
    </w:pPr>
    <w:rPr>
      <w:sz w:val="18"/>
      <w:szCs w:val="18"/>
    </w:rPr>
  </w:style>
  <w:style w:type="paragraph" w:styleId="style19">
    <w:name w:val="toc 1"/>
    <w:basedOn w:val="style0"/>
    <w:next w:val="style0"/>
    <w:qFormat/>
    <w:uiPriority w:val="0"/>
    <w:pPr>
      <w:adjustRightInd w:val="false"/>
      <w:snapToGrid w:val="false"/>
      <w:spacing w:lineRule="auto" w:line="360"/>
      <w:jc w:val="left"/>
    </w:pPr>
    <w:rPr>
      <w:b/>
      <w:bCs/>
      <w:sz w:val="24"/>
      <w:szCs w:val="20"/>
    </w:rPr>
  </w:style>
  <w:style w:type="paragraph" w:styleId="style22">
    <w:name w:val="toc 4"/>
    <w:basedOn w:val="style0"/>
    <w:next w:val="style0"/>
    <w:qFormat/>
    <w:uiPriority w:val="0"/>
    <w:pPr>
      <w:ind w:left="630"/>
      <w:jc w:val="left"/>
    </w:pPr>
    <w:rPr>
      <w:sz w:val="20"/>
      <w:szCs w:val="20"/>
    </w:rPr>
  </w:style>
  <w:style w:type="paragraph" w:styleId="style24">
    <w:name w:val="toc 6"/>
    <w:basedOn w:val="style0"/>
    <w:next w:val="style0"/>
    <w:qFormat/>
    <w:uiPriority w:val="0"/>
    <w:pPr>
      <w:ind w:left="1050"/>
      <w:jc w:val="left"/>
    </w:pPr>
    <w:rPr>
      <w:sz w:val="20"/>
      <w:szCs w:val="20"/>
    </w:rPr>
  </w:style>
  <w:style w:type="paragraph" w:styleId="style20">
    <w:name w:val="toc 2"/>
    <w:basedOn w:val="style0"/>
    <w:next w:val="style0"/>
    <w:qFormat/>
    <w:uiPriority w:val="0"/>
    <w:pPr>
      <w:adjustRightInd w:val="false"/>
      <w:snapToGrid w:val="false"/>
      <w:spacing w:lineRule="auto" w:line="360"/>
      <w:ind w:firstLine="200" w:firstLineChars="200"/>
      <w:jc w:val="left"/>
    </w:pPr>
    <w:rPr>
      <w:iCs/>
      <w:sz w:val="24"/>
      <w:szCs w:val="20"/>
    </w:rPr>
  </w:style>
  <w:style w:type="paragraph" w:styleId="style27">
    <w:name w:val="toc 9"/>
    <w:basedOn w:val="style0"/>
    <w:next w:val="style0"/>
    <w:qFormat/>
    <w:uiPriority w:val="0"/>
    <w:pPr>
      <w:ind w:left="1680"/>
      <w:jc w:val="left"/>
    </w:pPr>
    <w:rPr>
      <w:sz w:val="20"/>
      <w:szCs w:val="20"/>
    </w:rPr>
  </w:style>
  <w:style w:type="character" w:styleId="style41">
    <w:name w:val="page number"/>
    <w:basedOn w:val="style65"/>
    <w:next w:val="style41"/>
    <w:qFormat/>
    <w:uiPriority w:val="0"/>
  </w:style>
  <w:style w:type="character" w:styleId="style85">
    <w:name w:val="Hyperlink"/>
    <w:basedOn w:val="style65"/>
    <w:next w:val="style85"/>
    <w:qFormat/>
    <w:uiPriority w:val="0"/>
    <w:rPr>
      <w:color w:val="0000ff"/>
      <w:u w:val="single"/>
    </w:rPr>
  </w:style>
  <w:style w:type="character" w:customStyle="1" w:styleId="style4099">
    <w:name w:val="标题 4 Char"/>
    <w:basedOn w:val="style65"/>
    <w:next w:val="style4099"/>
    <w:link w:val="style4"/>
    <w:qFormat/>
    <w:uiPriority w:val="0"/>
    <w:rPr>
      <w:rFonts w:ascii="Cambria" w:hAnsi="Cambria"/>
      <w:b/>
      <w:bCs/>
      <w:kern w:val="2"/>
      <w:sz w:val="28"/>
      <w:szCs w:val="28"/>
    </w:rPr>
  </w:style>
  <w:style w:type="paragraph" w:styleId="style157">
    <w:name w:val="No Spacing"/>
    <w:next w:val="style157"/>
    <w:link w:val="style4100"/>
    <w:qFormat/>
    <w:uiPriority w:val="0"/>
    <w:pPr>
      <w:ind w:firstLine="200" w:firstLineChars="200"/>
    </w:pPr>
    <w:rPr>
      <w:rFonts w:ascii="Times New Roman" w:cs="Times New Roman" w:eastAsia="仿宋_GB2312" w:hAnsi="Times New Roman"/>
      <w:sz w:val="30"/>
      <w:szCs w:val="22"/>
      <w:lang w:val="en-US" w:bidi="ar-SA" w:eastAsia="zh-CN"/>
    </w:rPr>
  </w:style>
  <w:style w:type="character" w:customStyle="1" w:styleId="style4100">
    <w:name w:val="无间隔 Char"/>
    <w:next w:val="style4100"/>
    <w:link w:val="style157"/>
    <w:qFormat/>
    <w:uiPriority w:val="0"/>
    <w:rPr>
      <w:rFonts w:eastAsia="仿宋_GB2312"/>
      <w:sz w:val="30"/>
      <w:szCs w:val="22"/>
      <w:lang w:bidi="ar-SA"/>
    </w:rPr>
  </w:style>
  <w:style w:type="character" w:customStyle="1" w:styleId="style4101">
    <w:name w:val="页脚 Char"/>
    <w:basedOn w:val="style65"/>
    <w:next w:val="style4101"/>
    <w:link w:val="style32"/>
    <w:qFormat/>
    <w:uiPriority w:val="0"/>
    <w:rPr>
      <w:kern w:val="2"/>
      <w:sz w:val="18"/>
      <w:szCs w:val="18"/>
    </w:rPr>
  </w:style>
  <w:style w:type="paragraph" w:styleId="style179">
    <w:name w:val="List Paragraph"/>
    <w:basedOn w:val="style0"/>
    <w:next w:val="style179"/>
    <w:qFormat/>
    <w:uiPriority w:val="0"/>
    <w:pPr>
      <w:ind w:firstLine="420" w:firstLineChars="200"/>
    </w:pPr>
    <w:rPr/>
  </w:style>
  <w:style w:type="character" w:customStyle="1" w:styleId="style4102">
    <w:name w:val="标题 3 Char"/>
    <w:basedOn w:val="style65"/>
    <w:next w:val="style4102"/>
    <w:link w:val="style3"/>
    <w:qFormat/>
    <w:uiPriority w:val="0"/>
    <w:rPr>
      <w:b/>
      <w:bCs/>
      <w:kern w:val="2"/>
      <w:sz w:val="32"/>
      <w:szCs w:val="32"/>
    </w:rPr>
  </w:style>
  <w:style w:type="paragraph" w:customStyle="1" w:styleId="style4103">
    <w:name w:val="MsoNormal"/>
    <w:basedOn w:val="style0"/>
    <w:next w:val="style4103"/>
    <w:qFormat/>
    <w:uiPriority w:val="0"/>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footer" Target="footer1.xml"/><Relationship Id="rId3" Type="http://schemas.openxmlformats.org/officeDocument/2006/relationships/image" Target="media/image1.png"/><Relationship Id="rId4" Type="http://schemas.openxmlformats.org/officeDocument/2006/relationships/image" Target="media/image2.png"/><Relationship Id="rId10" Type="http://schemas.openxmlformats.org/officeDocument/2006/relationships/customXml" Target="../customXml/item1.xml"/><Relationship Id="rId9" Type="http://schemas.openxmlformats.org/officeDocument/2006/relationships/theme" Target="theme/theme1.xml"/><Relationship Id="rId5" Type="http://schemas.openxmlformats.org/officeDocument/2006/relationships/footer" Target="footer2.xml"/><Relationship Id="rId6" Type="http://schemas.openxmlformats.org/officeDocument/2006/relationships/styles" Target="styles.xml"/><Relationship Id="rId7" Type="http://schemas.openxmlformats.org/officeDocument/2006/relationships/fontTable" Target="fontTable.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Relationships>
</file>

<file path=customXml/item1.xml><?xml version="1.0" encoding="utf-8"?>
<b:Sources xmlns:r="http://schemas.openxmlformats.org/officeDocument/2006/relationships" xmlns:w="http://schemas.openxmlformats.org/wordprocessingml/2006/main" xmlns:w15="http://schemas.microsoft.com/office/word/2012/wordml" xmlns:m="http://schemas.openxmlformats.org/officeDocument/2006/math" xmlns:w14="http://schemas.microsoft.com/office/word/2010/wordml" xmlns:wp="http://schemas.openxmlformats.org/drawingml/2006/wordprocessingDrawing" xmlns:a="http://schemas.openxmlformats.org/drawingml/2006/main" xmlns:wp14="http://schemas.microsoft.com/office/word/2010/wordprocessingDrawing" xmlns:mc="http://schemas.openxmlformats.org/markup-compatibility/2006"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xvml="urn:schemas-microsoft-com:office:excel" xmlns:w10="urn:schemas-microsoft-com:office:word"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wps="http://schemas.microsoft.com/office/word/2010/wordprocessingShape"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SelectedStyle="\APASixthEditionOfficeOnline.xsl" StyleName="APA"/>
</file>

<file path=customXml/itemProps1.xml><?xml version="1.0" encoding="utf-8"?>
<ds:datastoreItem xmlns:ds="http://schemas.openxmlformats.org/officeDocument/2006/customXml" ds:itemID="{1EFD8714-0FA9-4C6D-A463-F07367D20AE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Words>7347</Words>
  <Pages>21</Pages>
  <Characters>8066</Characters>
  <Application>WPS Office</Application>
  <DocSecurity>0</DocSecurity>
  <Paragraphs>454</Paragraphs>
  <ScaleCrop>false</ScaleCrop>
  <Company>微软中国</Company>
  <LinksUpToDate>false</LinksUpToDate>
  <CharactersWithSpaces>8312</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2022-03-23T12:40:00Z</dcterms:created>
  <dc:creator>Administrator</dc:creator>
  <lastModifiedBy>PLA110</lastModifiedBy>
  <lastPrinted>2025-09-25T02:44:00Z</lastPrinted>
  <dcterms:modified xsi:type="dcterms:W3CDTF">2025-10-16T10:14:56Z</dcterms:modified>
  <revision>19</revision>
  <dc:title>××年度××部门/单位</dc:title>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d674e73fc9174c09ac77dbbc4cd9d675_23</vt:lpwstr>
  </property>
  <property fmtid="{D5CDD505-2E9C-101B-9397-08002B2CF9AE}" pid="3" name="KSOProductBuildVer">
    <vt:lpwstr>2052-12.1.0.22529</vt:lpwstr>
  </property>
  <property fmtid="{D5CDD505-2E9C-101B-9397-08002B2CF9AE}" pid="4" name="KSOTemplateDocerSaveRecord">
    <vt:lpwstr>eyJoZGlkIjoiY2FlMTJmODc4YTNmNmVhMjYwZGM4NDIxMzE2NjE0MTAiLCJ1c2VySWQiOiIzNTg5MzM3NjQifQ==</vt:lpwstr>
  </property>
</Properties>
</file>